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45" w:rsidRPr="009101B9" w:rsidRDefault="00202C45" w:rsidP="009101B9">
      <w:pPr>
        <w:pStyle w:val="NormalWeb"/>
        <w:shd w:val="clear" w:color="auto" w:fill="FDFDFC"/>
        <w:spacing w:line="276" w:lineRule="auto"/>
        <w:jc w:val="center"/>
        <w:rPr>
          <w:rStyle w:val="lev"/>
          <w:rFonts w:asciiTheme="minorHAnsi" w:hAnsiTheme="minorHAnsi"/>
          <w:sz w:val="32"/>
          <w:szCs w:val="32"/>
        </w:rPr>
      </w:pPr>
      <w:r w:rsidRPr="009101B9">
        <w:rPr>
          <w:rStyle w:val="lev"/>
          <w:rFonts w:asciiTheme="minorHAnsi" w:hAnsiTheme="minorHAnsi"/>
          <w:sz w:val="32"/>
          <w:szCs w:val="32"/>
        </w:rPr>
        <w:t>La pédagogie différenciée</w:t>
      </w:r>
    </w:p>
    <w:p w:rsidR="00202C45" w:rsidRPr="009101B9" w:rsidRDefault="00202C45" w:rsidP="009101B9">
      <w:pPr>
        <w:pStyle w:val="NormalWeb"/>
        <w:shd w:val="clear" w:color="auto" w:fill="FDFDFC"/>
        <w:spacing w:line="276" w:lineRule="auto"/>
        <w:ind w:left="567"/>
        <w:rPr>
          <w:rStyle w:val="lev"/>
          <w:rFonts w:asciiTheme="minorHAnsi" w:hAnsiTheme="minorHAnsi"/>
          <w:b w:val="0"/>
          <w:sz w:val="22"/>
          <w:szCs w:val="22"/>
        </w:rPr>
      </w:pPr>
    </w:p>
    <w:p w:rsidR="009101B9" w:rsidRPr="009101B9" w:rsidRDefault="009101B9" w:rsidP="009101B9">
      <w:pPr>
        <w:pStyle w:val="Paragraphedeliste"/>
        <w:numPr>
          <w:ilvl w:val="0"/>
          <w:numId w:val="2"/>
        </w:numPr>
        <w:spacing w:after="0"/>
        <w:ind w:left="567"/>
        <w:rPr>
          <w:rFonts w:cs="Calibri"/>
        </w:rPr>
      </w:pPr>
      <w:proofErr w:type="spellStart"/>
      <w:r w:rsidRPr="009101B9">
        <w:rPr>
          <w:rFonts w:cs="Calibri"/>
        </w:rPr>
        <w:t>Astolfi</w:t>
      </w:r>
      <w:proofErr w:type="spellEnd"/>
      <w:r w:rsidRPr="009101B9">
        <w:rPr>
          <w:rFonts w:cs="Calibri"/>
        </w:rPr>
        <w:t xml:space="preserve">, JP, La </w:t>
      </w:r>
      <w:r w:rsidRPr="009101B9">
        <w:rPr>
          <w:rFonts w:cs="Calibri"/>
          <w:i/>
        </w:rPr>
        <w:t>pédagogie différenciée ou, mieux : La différenciation de la différenciation!</w:t>
      </w:r>
      <w:r w:rsidRPr="009101B9">
        <w:rPr>
          <w:rFonts w:cs="Calibri"/>
        </w:rPr>
        <w:t xml:space="preserve"> , 1998</w:t>
      </w:r>
    </w:p>
    <w:p w:rsidR="009101B9" w:rsidRPr="009101B9" w:rsidRDefault="00202C45" w:rsidP="009101B9">
      <w:pPr>
        <w:pStyle w:val="Paragraphedeliste"/>
        <w:numPr>
          <w:ilvl w:val="0"/>
          <w:numId w:val="2"/>
        </w:numPr>
        <w:spacing w:after="0"/>
        <w:ind w:left="567"/>
        <w:rPr>
          <w:rFonts w:cs="Calibri"/>
        </w:rPr>
      </w:pPr>
      <w:hyperlink r:id="rId7" w:history="1">
        <w:r w:rsidRPr="009101B9">
          <w:rPr>
            <w:rStyle w:val="lev"/>
            <w:b w:val="0"/>
          </w:rPr>
          <w:t>Kahn S</w:t>
        </w:r>
        <w:r w:rsidRPr="009101B9">
          <w:rPr>
            <w:rStyle w:val="Lienhypertexte"/>
            <w:color w:val="auto"/>
          </w:rPr>
          <w:t xml:space="preserve">, </w:t>
        </w:r>
        <w:r w:rsidRPr="009101B9">
          <w:rPr>
            <w:rStyle w:val="Lienhypertexte"/>
            <w:i/>
            <w:iCs/>
            <w:color w:val="auto"/>
          </w:rPr>
          <w:t>Pédagogie différenciée</w:t>
        </w:r>
        <w:r w:rsidRPr="009101B9">
          <w:rPr>
            <w:rStyle w:val="Lienhypertexte"/>
            <w:color w:val="auto"/>
          </w:rPr>
          <w:t>, De Boeck, Le point sur… (pédagogie), 2010</w:t>
        </w:r>
      </w:hyperlink>
    </w:p>
    <w:p w:rsidR="00202C45" w:rsidRPr="009101B9" w:rsidRDefault="00202C45" w:rsidP="009101B9">
      <w:pPr>
        <w:pStyle w:val="Paragraphedeliste"/>
        <w:numPr>
          <w:ilvl w:val="0"/>
          <w:numId w:val="2"/>
        </w:numPr>
        <w:spacing w:after="0"/>
        <w:ind w:left="567"/>
        <w:rPr>
          <w:rStyle w:val="lev"/>
          <w:rFonts w:cs="Calibri"/>
          <w:b w:val="0"/>
          <w:bCs w:val="0"/>
        </w:rPr>
      </w:pPr>
      <w:proofErr w:type="spellStart"/>
      <w:r w:rsidRPr="009101B9">
        <w:rPr>
          <w:rStyle w:val="lev"/>
          <w:b w:val="0"/>
        </w:rPr>
        <w:t>Grandguillot</w:t>
      </w:r>
      <w:proofErr w:type="spellEnd"/>
      <w:r w:rsidRPr="009101B9">
        <w:rPr>
          <w:rStyle w:val="lev"/>
          <w:b w:val="0"/>
        </w:rPr>
        <w:t xml:space="preserve"> MC</w:t>
      </w:r>
      <w:r w:rsidRPr="009101B9">
        <w:t xml:space="preserve">, </w:t>
      </w:r>
      <w:r w:rsidRPr="009101B9">
        <w:rPr>
          <w:i/>
          <w:iCs/>
        </w:rPr>
        <w:t>Enseigner en classe hétérogène</w:t>
      </w:r>
      <w:r w:rsidRPr="009101B9">
        <w:t>, Hachette.</w:t>
      </w:r>
    </w:p>
    <w:p w:rsidR="009101B9" w:rsidRPr="009101B9" w:rsidRDefault="009101B9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</w:rPr>
      </w:pPr>
      <w:r w:rsidRPr="009101B9">
        <w:rPr>
          <w:rFonts w:asciiTheme="minorHAnsi" w:hAnsiTheme="minorHAnsi"/>
        </w:rPr>
        <w:t xml:space="preserve">Legrand L, </w:t>
      </w:r>
      <w:r w:rsidRPr="009101B9">
        <w:rPr>
          <w:rStyle w:val="lev"/>
          <w:rFonts w:asciiTheme="minorHAnsi" w:hAnsiTheme="minorHAnsi"/>
          <w:b w:val="0"/>
          <w:i/>
        </w:rPr>
        <w:t>Les différenciations de la pédagogie</w:t>
      </w:r>
      <w:r w:rsidRPr="009101B9">
        <w:rPr>
          <w:rFonts w:asciiTheme="minorHAnsi" w:hAnsiTheme="minorHAnsi"/>
        </w:rPr>
        <w:t>, PUF, 1996</w:t>
      </w:r>
    </w:p>
    <w:p w:rsidR="009101B9" w:rsidRDefault="00202C45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proofErr w:type="spellStart"/>
      <w:r w:rsidRPr="009101B9">
        <w:rPr>
          <w:rStyle w:val="lev"/>
          <w:rFonts w:asciiTheme="minorHAnsi" w:hAnsiTheme="minorHAnsi"/>
          <w:b w:val="0"/>
          <w:sz w:val="22"/>
          <w:szCs w:val="22"/>
        </w:rPr>
        <w:t>Meirieu</w:t>
      </w:r>
      <w:proofErr w:type="spellEnd"/>
      <w:r w:rsidRPr="009101B9">
        <w:rPr>
          <w:rStyle w:val="lev"/>
          <w:rFonts w:asciiTheme="minorHAnsi" w:hAnsiTheme="minorHAnsi"/>
          <w:b w:val="0"/>
          <w:sz w:val="22"/>
          <w:szCs w:val="22"/>
        </w:rPr>
        <w:t xml:space="preserve"> Ph</w:t>
      </w:r>
      <w:r w:rsidRPr="009101B9">
        <w:rPr>
          <w:rFonts w:asciiTheme="minorHAnsi" w:hAnsiTheme="minorHAnsi"/>
          <w:sz w:val="22"/>
          <w:szCs w:val="22"/>
        </w:rPr>
        <w:t xml:space="preserve">, </w:t>
      </w:r>
      <w:r w:rsidRPr="009101B9">
        <w:rPr>
          <w:rFonts w:asciiTheme="minorHAnsi" w:hAnsiTheme="minorHAnsi"/>
          <w:i/>
          <w:iCs/>
          <w:sz w:val="22"/>
          <w:szCs w:val="22"/>
        </w:rPr>
        <w:t>L’école, mode d’emploi. Des méthodes actives à la pédagogie différenciée</w:t>
      </w:r>
      <w:r w:rsidRPr="009101B9">
        <w:rPr>
          <w:rFonts w:asciiTheme="minorHAnsi" w:hAnsiTheme="minorHAnsi"/>
          <w:sz w:val="22"/>
          <w:szCs w:val="22"/>
        </w:rPr>
        <w:t>, ESF-Pédagogies, 1985.</w:t>
      </w:r>
    </w:p>
    <w:p w:rsidR="009101B9" w:rsidRDefault="009101B9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9101B9">
        <w:rPr>
          <w:rFonts w:asciiTheme="minorHAnsi" w:hAnsiTheme="minorHAnsi"/>
        </w:rPr>
        <w:t>MEIRIEU Ph,</w:t>
      </w:r>
      <w:r w:rsidRPr="009101B9">
        <w:rPr>
          <w:rFonts w:asciiTheme="minorHAnsi" w:hAnsiTheme="minorHAnsi"/>
          <w:sz w:val="22"/>
          <w:szCs w:val="22"/>
        </w:rPr>
        <w:t> </w:t>
      </w:r>
      <w:r w:rsidRPr="009101B9">
        <w:rPr>
          <w:rStyle w:val="lev"/>
          <w:rFonts w:asciiTheme="minorHAnsi" w:hAnsiTheme="minorHAnsi"/>
          <w:b w:val="0"/>
          <w:i/>
        </w:rPr>
        <w:t>Outils pour apprendre en groupes</w:t>
      </w:r>
      <w:r w:rsidRPr="009101B9">
        <w:rPr>
          <w:rFonts w:asciiTheme="minorHAnsi" w:hAnsiTheme="minorHAnsi"/>
        </w:rPr>
        <w:t>, Ed. Chronique sociale, 1984</w:t>
      </w:r>
    </w:p>
    <w:p w:rsidR="009101B9" w:rsidRDefault="00202C45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proofErr w:type="spellStart"/>
      <w:r w:rsidRPr="009101B9">
        <w:rPr>
          <w:rStyle w:val="lev"/>
          <w:rFonts w:asciiTheme="minorHAnsi" w:hAnsiTheme="minorHAnsi"/>
          <w:b w:val="0"/>
          <w:sz w:val="22"/>
          <w:szCs w:val="22"/>
        </w:rPr>
        <w:t>Perrenoud</w:t>
      </w:r>
      <w:proofErr w:type="spellEnd"/>
      <w:r w:rsidRPr="009101B9">
        <w:rPr>
          <w:rStyle w:val="lev"/>
          <w:rFonts w:asciiTheme="minorHAnsi" w:hAnsiTheme="minorHAnsi"/>
          <w:b w:val="0"/>
          <w:sz w:val="22"/>
          <w:szCs w:val="22"/>
        </w:rPr>
        <w:t xml:space="preserve"> Ph</w:t>
      </w:r>
      <w:r w:rsidRPr="009101B9">
        <w:rPr>
          <w:rFonts w:asciiTheme="minorHAnsi" w:hAnsiTheme="minorHAnsi"/>
          <w:sz w:val="22"/>
          <w:szCs w:val="22"/>
        </w:rPr>
        <w:t xml:space="preserve">, </w:t>
      </w:r>
      <w:r w:rsidRPr="009101B9">
        <w:rPr>
          <w:rFonts w:asciiTheme="minorHAnsi" w:hAnsiTheme="minorHAnsi"/>
          <w:i/>
          <w:iCs/>
          <w:sz w:val="22"/>
          <w:szCs w:val="22"/>
        </w:rPr>
        <w:t>Pédagogie différenciée : des intentions à l’action</w:t>
      </w:r>
      <w:r w:rsidRPr="009101B9">
        <w:rPr>
          <w:rFonts w:asciiTheme="minorHAnsi" w:hAnsiTheme="minorHAnsi"/>
          <w:sz w:val="22"/>
          <w:szCs w:val="22"/>
        </w:rPr>
        <w:t>, ESF-Pédagogies, 1997.</w:t>
      </w:r>
    </w:p>
    <w:p w:rsidR="00202C45" w:rsidRPr="009101B9" w:rsidRDefault="00202C45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hyperlink r:id="rId8" w:history="1">
        <w:proofErr w:type="spellStart"/>
        <w:r w:rsidRPr="009101B9">
          <w:rPr>
            <w:rStyle w:val="lev"/>
            <w:rFonts w:asciiTheme="minorHAnsi" w:hAnsiTheme="minorHAnsi"/>
            <w:b w:val="0"/>
            <w:sz w:val="22"/>
            <w:szCs w:val="22"/>
          </w:rPr>
          <w:t>Perrenoud</w:t>
        </w:r>
        <w:proofErr w:type="spellEnd"/>
        <w:r w:rsidRPr="009101B9">
          <w:rPr>
            <w:rStyle w:val="lev"/>
            <w:rFonts w:asciiTheme="minorHAnsi" w:hAnsiTheme="minorHAnsi"/>
            <w:b w:val="0"/>
            <w:sz w:val="22"/>
            <w:szCs w:val="22"/>
          </w:rPr>
          <w:t xml:space="preserve"> Ph,</w:t>
        </w:r>
        <w:r w:rsidRPr="009101B9">
          <w:rPr>
            <w:rStyle w:val="Lienhypertexte"/>
            <w:rFonts w:asciiTheme="minorHAnsi" w:hAnsiTheme="minorHAnsi"/>
            <w:color w:val="auto"/>
            <w:sz w:val="22"/>
            <w:szCs w:val="22"/>
          </w:rPr>
          <w:t xml:space="preserve"> </w:t>
        </w:r>
        <w:r w:rsidRPr="009101B9">
          <w:rPr>
            <w:rStyle w:val="Lienhypertexte"/>
            <w:rFonts w:asciiTheme="minorHAnsi" w:hAnsiTheme="minorHAnsi"/>
            <w:i/>
            <w:iCs/>
            <w:color w:val="auto"/>
            <w:sz w:val="22"/>
            <w:szCs w:val="22"/>
          </w:rPr>
          <w:t>L’organisation du travail, clé de toute pédagogie différenciée</w:t>
        </w:r>
        <w:r w:rsidRPr="009101B9">
          <w:rPr>
            <w:rStyle w:val="Lienhypertexte"/>
            <w:rFonts w:asciiTheme="minorHAnsi" w:hAnsiTheme="minorHAnsi"/>
            <w:color w:val="auto"/>
            <w:sz w:val="22"/>
            <w:szCs w:val="22"/>
          </w:rPr>
          <w:t>, ESF, 2012.</w:t>
        </w:r>
      </w:hyperlink>
    </w:p>
    <w:p w:rsidR="00202C45" w:rsidRPr="009101B9" w:rsidRDefault="009101B9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proofErr w:type="spellStart"/>
      <w:r w:rsidRPr="009101B9">
        <w:rPr>
          <w:rFonts w:asciiTheme="minorHAnsi" w:hAnsiTheme="minorHAnsi"/>
          <w:sz w:val="22"/>
          <w:szCs w:val="22"/>
        </w:rPr>
        <w:t>Przesmycki</w:t>
      </w:r>
      <w:proofErr w:type="spellEnd"/>
      <w:r w:rsidRPr="009101B9">
        <w:rPr>
          <w:rFonts w:asciiTheme="minorHAnsi" w:hAnsiTheme="minorHAnsi"/>
          <w:sz w:val="22"/>
          <w:szCs w:val="22"/>
        </w:rPr>
        <w:t xml:space="preserve"> H</w:t>
      </w:r>
      <w:r w:rsidRPr="009101B9">
        <w:rPr>
          <w:rFonts w:asciiTheme="minorHAnsi" w:hAnsiTheme="minorHAnsi"/>
          <w:i/>
          <w:sz w:val="22"/>
          <w:szCs w:val="22"/>
        </w:rPr>
        <w:t xml:space="preserve">, </w:t>
      </w:r>
      <w:r w:rsidR="00202C45" w:rsidRPr="009101B9">
        <w:rPr>
          <w:rFonts w:asciiTheme="minorHAnsi" w:hAnsiTheme="minorHAnsi"/>
          <w:i/>
          <w:sz w:val="22"/>
          <w:szCs w:val="22"/>
        </w:rPr>
        <w:t xml:space="preserve"> La pédagogie différenciée</w:t>
      </w:r>
      <w:r w:rsidRPr="009101B9">
        <w:rPr>
          <w:rFonts w:asciiTheme="minorHAnsi" w:hAnsiTheme="minorHAnsi"/>
          <w:sz w:val="22"/>
          <w:szCs w:val="22"/>
        </w:rPr>
        <w:t xml:space="preserve">, </w:t>
      </w:r>
      <w:r w:rsidR="00202C45" w:rsidRPr="009101B9">
        <w:rPr>
          <w:rFonts w:asciiTheme="minorHAnsi" w:hAnsiTheme="minorHAnsi"/>
          <w:sz w:val="22"/>
          <w:szCs w:val="22"/>
        </w:rPr>
        <w:t>Hachette éducation, 2004</w:t>
      </w:r>
    </w:p>
    <w:p w:rsidR="009101B9" w:rsidRDefault="00202C45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proofErr w:type="spellStart"/>
      <w:r w:rsidRPr="009101B9">
        <w:rPr>
          <w:rStyle w:val="lev"/>
          <w:rFonts w:asciiTheme="minorHAnsi" w:hAnsiTheme="minorHAnsi"/>
          <w:b w:val="0"/>
          <w:sz w:val="22"/>
          <w:szCs w:val="22"/>
        </w:rPr>
        <w:t>Zakhartchouk</w:t>
      </w:r>
      <w:proofErr w:type="spellEnd"/>
      <w:r w:rsidRPr="009101B9">
        <w:rPr>
          <w:rStyle w:val="lev"/>
          <w:rFonts w:asciiTheme="minorHAnsi" w:hAnsiTheme="minorHAnsi"/>
          <w:b w:val="0"/>
          <w:sz w:val="22"/>
          <w:szCs w:val="22"/>
        </w:rPr>
        <w:t xml:space="preserve"> JM</w:t>
      </w:r>
      <w:r w:rsidRPr="009101B9">
        <w:rPr>
          <w:rFonts w:asciiTheme="minorHAnsi" w:hAnsiTheme="minorHAnsi"/>
          <w:sz w:val="22"/>
          <w:szCs w:val="22"/>
        </w:rPr>
        <w:t xml:space="preserve">, </w:t>
      </w:r>
      <w:r w:rsidRPr="009101B9">
        <w:rPr>
          <w:rFonts w:asciiTheme="minorHAnsi" w:hAnsiTheme="minorHAnsi"/>
          <w:i/>
          <w:iCs/>
          <w:sz w:val="22"/>
          <w:szCs w:val="22"/>
        </w:rPr>
        <w:t>Au risque de la pédagogie différenciée</w:t>
      </w:r>
      <w:r w:rsidRPr="009101B9">
        <w:rPr>
          <w:rFonts w:asciiTheme="minorHAnsi" w:hAnsiTheme="minorHAnsi"/>
          <w:sz w:val="22"/>
          <w:szCs w:val="22"/>
        </w:rPr>
        <w:t>, INRP, 1999.</w:t>
      </w:r>
    </w:p>
    <w:p w:rsidR="009101B9" w:rsidRDefault="009101B9" w:rsidP="009101B9">
      <w:pPr>
        <w:pStyle w:val="NormalWeb"/>
        <w:shd w:val="clear" w:color="auto" w:fill="FDFDFC"/>
        <w:spacing w:line="276" w:lineRule="auto"/>
        <w:rPr>
          <w:rFonts w:asciiTheme="minorHAnsi" w:hAnsiTheme="minorHAnsi"/>
          <w:sz w:val="22"/>
          <w:szCs w:val="22"/>
        </w:rPr>
      </w:pPr>
    </w:p>
    <w:p w:rsidR="009101B9" w:rsidRDefault="009101B9" w:rsidP="009101B9">
      <w:pPr>
        <w:pStyle w:val="NormalWeb"/>
        <w:shd w:val="clear" w:color="auto" w:fill="FDFDFC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9101B9" w:rsidRPr="009101B9" w:rsidRDefault="009101B9" w:rsidP="009101B9">
      <w:pPr>
        <w:pStyle w:val="NormalWeb"/>
        <w:shd w:val="clear" w:color="auto" w:fill="FDFDFC"/>
        <w:spacing w:line="276" w:lineRule="auto"/>
        <w:rPr>
          <w:rFonts w:asciiTheme="minorHAnsi" w:hAnsiTheme="minorHAnsi"/>
          <w:b/>
          <w:sz w:val="22"/>
          <w:szCs w:val="22"/>
        </w:rPr>
      </w:pPr>
      <w:r w:rsidRPr="009101B9">
        <w:rPr>
          <w:rFonts w:asciiTheme="minorHAnsi" w:hAnsiTheme="minorHAnsi"/>
          <w:b/>
          <w:sz w:val="22"/>
          <w:szCs w:val="22"/>
        </w:rPr>
        <w:t>Revues</w:t>
      </w:r>
    </w:p>
    <w:p w:rsidR="009101B9" w:rsidRPr="009101B9" w:rsidRDefault="009101B9" w:rsidP="009101B9">
      <w:pPr>
        <w:pStyle w:val="Paragraphedeliste"/>
        <w:numPr>
          <w:ilvl w:val="0"/>
          <w:numId w:val="2"/>
        </w:numPr>
        <w:spacing w:after="0"/>
        <w:ind w:left="567"/>
        <w:rPr>
          <w:rFonts w:cs="Calibri"/>
        </w:rPr>
      </w:pPr>
      <w:r w:rsidRPr="009101B9">
        <w:rPr>
          <w:rFonts w:cs="Calibri"/>
        </w:rPr>
        <w:t>Actualité de la pédagogie différenciée, Cahiers pédagogiques, n°503, février 2013</w:t>
      </w:r>
    </w:p>
    <w:p w:rsidR="009101B9" w:rsidRPr="009101B9" w:rsidRDefault="009101B9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9101B9">
        <w:rPr>
          <w:rStyle w:val="lev"/>
          <w:rFonts w:asciiTheme="minorHAnsi" w:hAnsiTheme="minorHAnsi"/>
          <w:b w:val="0"/>
          <w:sz w:val="22"/>
          <w:szCs w:val="22"/>
        </w:rPr>
        <w:t>Le travail de groupe</w:t>
      </w:r>
      <w:r w:rsidRPr="009101B9">
        <w:rPr>
          <w:rFonts w:asciiTheme="minorHAnsi" w:hAnsiTheme="minorHAnsi"/>
          <w:sz w:val="22"/>
          <w:szCs w:val="22"/>
        </w:rPr>
        <w:t>, Cahiers Pédagogiques, N°376</w:t>
      </w:r>
    </w:p>
    <w:p w:rsidR="009101B9" w:rsidRPr="009101B9" w:rsidRDefault="009101B9" w:rsidP="009101B9">
      <w:pPr>
        <w:pStyle w:val="NormalWeb"/>
        <w:numPr>
          <w:ilvl w:val="0"/>
          <w:numId w:val="2"/>
        </w:numPr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9101B9">
        <w:rPr>
          <w:rStyle w:val="lev"/>
          <w:rFonts w:asciiTheme="minorHAnsi" w:hAnsiTheme="minorHAnsi"/>
          <w:b w:val="0"/>
          <w:sz w:val="22"/>
          <w:szCs w:val="22"/>
        </w:rPr>
        <w:t xml:space="preserve"> « Retours sur... la pédagogie différenciée »</w:t>
      </w:r>
      <w:r w:rsidRPr="009101B9">
        <w:rPr>
          <w:rFonts w:asciiTheme="minorHAnsi" w:hAnsiTheme="minorHAnsi"/>
          <w:sz w:val="22"/>
          <w:szCs w:val="22"/>
        </w:rPr>
        <w:t xml:space="preserve">, </w:t>
      </w:r>
      <w:r w:rsidRPr="009101B9">
        <w:rPr>
          <w:rFonts w:asciiTheme="minorHAnsi" w:hAnsiTheme="minorHAnsi"/>
          <w:i/>
          <w:iCs/>
          <w:sz w:val="22"/>
          <w:szCs w:val="22"/>
        </w:rPr>
        <w:t>Cahiers pédagogiques</w:t>
      </w:r>
      <w:r w:rsidRPr="009101B9">
        <w:rPr>
          <w:rFonts w:asciiTheme="minorHAnsi" w:hAnsiTheme="minorHAnsi"/>
          <w:sz w:val="22"/>
          <w:szCs w:val="22"/>
        </w:rPr>
        <w:t>, Supplément 3, 1997.</w:t>
      </w:r>
    </w:p>
    <w:p w:rsidR="009101B9" w:rsidRPr="009101B9" w:rsidRDefault="009101B9" w:rsidP="009101B9">
      <w:pPr>
        <w:pStyle w:val="Paragraphedeliste"/>
        <w:numPr>
          <w:ilvl w:val="0"/>
          <w:numId w:val="2"/>
        </w:numPr>
        <w:spacing w:after="0"/>
        <w:ind w:left="567"/>
        <w:rPr>
          <w:rFonts w:cs="Calibri"/>
        </w:rPr>
      </w:pPr>
      <w:r w:rsidRPr="009101B9">
        <w:rPr>
          <w:rFonts w:cs="Calibri"/>
        </w:rPr>
        <w:t>L'individualisation : enjeux et pratiques, revue les  cahiers Innover et réussir, n° 10, mai 2005.</w:t>
      </w:r>
    </w:p>
    <w:p w:rsidR="00202C45" w:rsidRPr="009101B9" w:rsidRDefault="00202C45" w:rsidP="009101B9">
      <w:pPr>
        <w:pStyle w:val="NormalWeb"/>
        <w:shd w:val="clear" w:color="auto" w:fill="FDFDFC"/>
        <w:spacing w:line="276" w:lineRule="auto"/>
        <w:ind w:left="567"/>
        <w:rPr>
          <w:rFonts w:asciiTheme="minorHAnsi" w:hAnsiTheme="minorHAnsi"/>
          <w:sz w:val="22"/>
          <w:szCs w:val="22"/>
        </w:rPr>
      </w:pPr>
    </w:p>
    <w:p w:rsidR="004E356C" w:rsidRPr="009101B9" w:rsidRDefault="004E356C" w:rsidP="009101B9">
      <w:pPr>
        <w:ind w:left="567"/>
      </w:pPr>
    </w:p>
    <w:sectPr w:rsidR="004E356C" w:rsidRPr="009101B9" w:rsidSect="004E35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76" w:rsidRDefault="00B21276" w:rsidP="009101B9">
      <w:pPr>
        <w:spacing w:after="0" w:line="240" w:lineRule="auto"/>
      </w:pPr>
      <w:r>
        <w:separator/>
      </w:r>
    </w:p>
  </w:endnote>
  <w:endnote w:type="continuationSeparator" w:id="0">
    <w:p w:rsidR="00B21276" w:rsidRDefault="00B21276" w:rsidP="0091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76" w:rsidRDefault="00B21276" w:rsidP="009101B9">
      <w:pPr>
        <w:spacing w:after="0" w:line="240" w:lineRule="auto"/>
      </w:pPr>
      <w:r>
        <w:separator/>
      </w:r>
    </w:p>
  </w:footnote>
  <w:footnote w:type="continuationSeparator" w:id="0">
    <w:p w:rsidR="00B21276" w:rsidRDefault="00B21276" w:rsidP="0091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B9" w:rsidRPr="009101B9" w:rsidRDefault="009101B9" w:rsidP="009101B9">
    <w:pPr>
      <w:pStyle w:val="En-tte"/>
      <w:jc w:val="right"/>
      <w:rPr>
        <w:i/>
        <w:sz w:val="18"/>
        <w:szCs w:val="18"/>
      </w:rPr>
    </w:pPr>
    <w:r w:rsidRPr="009101B9">
      <w:rPr>
        <w:i/>
        <w:sz w:val="18"/>
        <w:szCs w:val="18"/>
      </w:rPr>
      <w:t>Magali Raymond - 2013</w:t>
    </w:r>
  </w:p>
  <w:p w:rsidR="009101B9" w:rsidRDefault="009101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EB2"/>
    <w:multiLevelType w:val="hybridMultilevel"/>
    <w:tmpl w:val="26A4D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D66D9"/>
    <w:multiLevelType w:val="hybridMultilevel"/>
    <w:tmpl w:val="AAE0D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C45"/>
    <w:rsid w:val="00202C45"/>
    <w:rsid w:val="004E356C"/>
    <w:rsid w:val="009101B9"/>
    <w:rsid w:val="00B2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2C45"/>
    <w:rPr>
      <w:strike w:val="0"/>
      <w:dstrike w:val="0"/>
      <w:color w:val="990000"/>
      <w:u w:val="none"/>
      <w:effect w:val="none"/>
    </w:rPr>
  </w:style>
  <w:style w:type="character" w:styleId="lev">
    <w:name w:val="Strong"/>
    <w:basedOn w:val="Policepardfaut"/>
    <w:qFormat/>
    <w:rsid w:val="00202C45"/>
    <w:rPr>
      <w:b/>
      <w:bCs/>
    </w:rPr>
  </w:style>
  <w:style w:type="paragraph" w:styleId="NormalWeb">
    <w:name w:val="Normal (Web)"/>
    <w:basedOn w:val="Normal"/>
    <w:uiPriority w:val="99"/>
    <w:unhideWhenUsed/>
    <w:rsid w:val="00202C45"/>
    <w:pPr>
      <w:spacing w:after="0" w:line="336" w:lineRule="atLeast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C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01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1B9"/>
  </w:style>
  <w:style w:type="paragraph" w:styleId="Pieddepage">
    <w:name w:val="footer"/>
    <w:basedOn w:val="Normal"/>
    <w:link w:val="PieddepageCar"/>
    <w:uiPriority w:val="99"/>
    <w:semiHidden/>
    <w:unhideWhenUsed/>
    <w:rsid w:val="0091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0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286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FE0E0"/>
                <w:bottom w:val="none" w:sz="0" w:space="0" w:color="auto"/>
                <w:right w:val="single" w:sz="2" w:space="0" w:color="DFE0E0"/>
              </w:divBdr>
              <w:divsChild>
                <w:div w:id="2267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iers-pedagogiques.com/L-organisation-du-travail-cle-de-toute-pedagogie-differenci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hiers-pedagogiques.com/Pedagogie-differenci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2015-07-21T21:00:00Z</dcterms:created>
  <dcterms:modified xsi:type="dcterms:W3CDTF">2015-07-21T21:19:00Z</dcterms:modified>
</cp:coreProperties>
</file>