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1C" w:rsidRPr="0042490A" w:rsidRDefault="0012371C" w:rsidP="0012371C">
      <w:pPr>
        <w:pStyle w:val="NormalWeb"/>
        <w:shd w:val="clear" w:color="auto" w:fill="FDFDFC"/>
        <w:jc w:val="center"/>
        <w:rPr>
          <w:rFonts w:asciiTheme="minorHAnsi" w:hAnsiTheme="minorHAnsi"/>
          <w:color w:val="222222"/>
          <w:sz w:val="44"/>
          <w:szCs w:val="44"/>
        </w:rPr>
      </w:pPr>
      <w:r w:rsidRPr="0042490A">
        <w:rPr>
          <w:rFonts w:asciiTheme="minorHAnsi" w:hAnsiTheme="minorHAnsi"/>
          <w:color w:val="222222"/>
          <w:sz w:val="44"/>
          <w:szCs w:val="44"/>
        </w:rPr>
        <w:t>Bibliographie autour du Jeu (et apprentissage)</w:t>
      </w:r>
    </w:p>
    <w:p w:rsidR="0012371C" w:rsidRDefault="0012371C" w:rsidP="0012371C">
      <w:pPr>
        <w:pStyle w:val="NormalWeb"/>
        <w:shd w:val="clear" w:color="auto" w:fill="FDFDFC"/>
        <w:rPr>
          <w:rFonts w:asciiTheme="minorHAnsi" w:hAnsiTheme="minorHAnsi"/>
          <w:color w:val="222222"/>
          <w:sz w:val="22"/>
          <w:szCs w:val="22"/>
        </w:rPr>
      </w:pPr>
    </w:p>
    <w:p w:rsidR="00931DB2" w:rsidRDefault="00931DB2" w:rsidP="0012371C">
      <w:pPr>
        <w:pStyle w:val="NormalWeb"/>
        <w:shd w:val="clear" w:color="auto" w:fill="FDFDFC"/>
        <w:rPr>
          <w:rFonts w:asciiTheme="minorHAnsi" w:hAnsiTheme="minorHAnsi"/>
          <w:color w:val="222222"/>
          <w:sz w:val="22"/>
          <w:szCs w:val="22"/>
        </w:rPr>
      </w:pPr>
    </w:p>
    <w:p w:rsidR="00931DB2" w:rsidRPr="0042490A" w:rsidRDefault="00931DB2" w:rsidP="00931DB2">
      <w:pPr>
        <w:pStyle w:val="Paragraphedeliste"/>
        <w:numPr>
          <w:ilvl w:val="0"/>
          <w:numId w:val="5"/>
        </w:numPr>
        <w:ind w:left="426"/>
        <w:rPr>
          <w:b/>
          <w:color w:val="E36C0A" w:themeColor="accent6" w:themeShade="BF"/>
          <w:sz w:val="28"/>
          <w:szCs w:val="28"/>
        </w:rPr>
      </w:pPr>
      <w:r w:rsidRPr="0042490A">
        <w:rPr>
          <w:b/>
          <w:color w:val="E36C0A" w:themeColor="accent6" w:themeShade="BF"/>
          <w:sz w:val="28"/>
          <w:szCs w:val="28"/>
        </w:rPr>
        <w:t xml:space="preserve">Le jeu et l’enfant </w:t>
      </w:r>
    </w:p>
    <w:p w:rsidR="00931DB2" w:rsidRPr="00931DB2" w:rsidRDefault="00931DB2" w:rsidP="00931DB2">
      <w:pPr>
        <w:spacing w:line="240" w:lineRule="auto"/>
        <w:jc w:val="both"/>
        <w:rPr>
          <w:sz w:val="18"/>
          <w:szCs w:val="18"/>
        </w:rPr>
      </w:pPr>
      <w:r w:rsidRPr="00931DB2">
        <w:rPr>
          <w:sz w:val="18"/>
          <w:szCs w:val="18"/>
        </w:rPr>
        <w:t>Le jeu est central dans la vie des enfants ; il participe à son développement et à son épanouissement; voici quelques ouvrages qui vont dans ce sens.</w:t>
      </w:r>
    </w:p>
    <w:p w:rsidR="00931DB2" w:rsidRPr="00931DB2" w:rsidRDefault="00931DB2" w:rsidP="00931DB2">
      <w:pPr>
        <w:pStyle w:val="Paragraphedeliste"/>
        <w:numPr>
          <w:ilvl w:val="0"/>
          <w:numId w:val="3"/>
        </w:numPr>
        <w:spacing w:line="240" w:lineRule="auto"/>
        <w:jc w:val="both"/>
        <w:rPr>
          <w:i/>
          <w:sz w:val="18"/>
          <w:szCs w:val="18"/>
        </w:rPr>
      </w:pPr>
      <w:r w:rsidRPr="0042490A">
        <w:rPr>
          <w:b/>
        </w:rPr>
        <w:t xml:space="preserve">Gilles </w:t>
      </w:r>
      <w:proofErr w:type="spellStart"/>
      <w:r w:rsidRPr="0042490A">
        <w:rPr>
          <w:b/>
        </w:rPr>
        <w:t>Brougère</w:t>
      </w:r>
      <w:proofErr w:type="spellEnd"/>
      <w:r w:rsidRPr="0042490A">
        <w:t xml:space="preserve">, Jouets et compagnie, Stock 2003. </w:t>
      </w:r>
      <w:r w:rsidRPr="00931DB2">
        <w:rPr>
          <w:sz w:val="18"/>
          <w:szCs w:val="18"/>
        </w:rPr>
        <w:t>(</w:t>
      </w:r>
      <w:r w:rsidRPr="00931DB2">
        <w:rPr>
          <w:i/>
          <w:sz w:val="18"/>
          <w:szCs w:val="18"/>
        </w:rPr>
        <w:t>Les jouets, tels un miroir, nous renvoient surtout l’image de notre relation à l’enfance).</w:t>
      </w:r>
    </w:p>
    <w:p w:rsidR="00931DB2" w:rsidRPr="0042490A" w:rsidRDefault="00931DB2" w:rsidP="00931DB2">
      <w:pPr>
        <w:pStyle w:val="Paragraphedeliste"/>
        <w:numPr>
          <w:ilvl w:val="0"/>
          <w:numId w:val="3"/>
        </w:numPr>
        <w:spacing w:line="240" w:lineRule="auto"/>
        <w:jc w:val="both"/>
        <w:rPr>
          <w:i/>
        </w:rPr>
      </w:pPr>
      <w:proofErr w:type="spellStart"/>
      <w:r w:rsidRPr="0042490A">
        <w:rPr>
          <w:b/>
        </w:rPr>
        <w:t>Suzi</w:t>
      </w:r>
      <w:proofErr w:type="spellEnd"/>
      <w:r w:rsidRPr="0042490A">
        <w:rPr>
          <w:b/>
        </w:rPr>
        <w:t xml:space="preserve"> Cohen,</w:t>
      </w:r>
      <w:r w:rsidRPr="0042490A">
        <w:t xml:space="preserve"> Sa vie, c'est le jeu, PUF 2003.</w:t>
      </w:r>
      <w:r w:rsidRPr="0042490A">
        <w:rPr>
          <w:i/>
        </w:rPr>
        <w:t xml:space="preserve"> </w:t>
      </w:r>
      <w:r w:rsidRPr="00931DB2">
        <w:rPr>
          <w:i/>
          <w:sz w:val="18"/>
          <w:szCs w:val="18"/>
        </w:rPr>
        <w:t>(A partir d’une enquête dans les écoles maternelles et primaires, l’auteur étudie le rôle du jeu dans la constitution de la personnalité et fait le point sur les aspects positifs et négatifs des différents jeux et jouets).</w:t>
      </w:r>
    </w:p>
    <w:p w:rsidR="00931DB2" w:rsidRPr="0042490A" w:rsidRDefault="00931DB2" w:rsidP="00931DB2">
      <w:pPr>
        <w:pStyle w:val="Paragraphedeliste"/>
        <w:numPr>
          <w:ilvl w:val="0"/>
          <w:numId w:val="3"/>
        </w:numPr>
        <w:spacing w:line="240" w:lineRule="auto"/>
        <w:jc w:val="both"/>
        <w:rPr>
          <w:i/>
        </w:rPr>
      </w:pPr>
      <w:r w:rsidRPr="0042490A">
        <w:rPr>
          <w:b/>
        </w:rPr>
        <w:t>Fabien Joly Jouer</w:t>
      </w:r>
      <w:r w:rsidRPr="0042490A">
        <w:rPr>
          <w:i/>
        </w:rPr>
        <w:t xml:space="preserve"> :</w:t>
      </w:r>
      <w:r w:rsidRPr="0042490A">
        <w:t xml:space="preserve"> le jeu dans le développement, la pathologie et la thérapeutique, In </w:t>
      </w:r>
      <w:proofErr w:type="spellStart"/>
      <w:r w:rsidRPr="0042490A">
        <w:t>press</w:t>
      </w:r>
      <w:proofErr w:type="spellEnd"/>
      <w:r w:rsidRPr="0042490A">
        <w:t>, 2003.</w:t>
      </w:r>
      <w:r w:rsidRPr="0042490A">
        <w:rPr>
          <w:i/>
        </w:rPr>
        <w:t xml:space="preserve"> </w:t>
      </w:r>
      <w:r w:rsidRPr="00931DB2">
        <w:rPr>
          <w:i/>
          <w:sz w:val="18"/>
          <w:szCs w:val="18"/>
        </w:rPr>
        <w:t>(Cet ouvrage traite du jeu à tous les âges de la vie. Il en étudie à la fois les aspects psychopathologiques et l’utilisation thérapeutique).</w:t>
      </w:r>
    </w:p>
    <w:p w:rsidR="00931DB2" w:rsidRPr="0042490A" w:rsidRDefault="00931DB2" w:rsidP="00931DB2">
      <w:pPr>
        <w:pStyle w:val="Paragraphedeliste"/>
        <w:numPr>
          <w:ilvl w:val="0"/>
          <w:numId w:val="3"/>
        </w:numPr>
        <w:spacing w:line="240" w:lineRule="auto"/>
        <w:jc w:val="both"/>
      </w:pPr>
      <w:r w:rsidRPr="0042490A">
        <w:rPr>
          <w:b/>
        </w:rPr>
        <w:t>Sylvie Mansour,</w:t>
      </w:r>
      <w:r w:rsidRPr="0042490A">
        <w:rPr>
          <w:i/>
        </w:rPr>
        <w:t xml:space="preserve"> </w:t>
      </w:r>
      <w:r w:rsidRPr="0042490A">
        <w:t>L’enfant et le jeu : les fonctions du jeu, ses limites, ses dérives Syros, 1994.</w:t>
      </w:r>
    </w:p>
    <w:p w:rsidR="00931DB2" w:rsidRPr="00931DB2" w:rsidRDefault="00931DB2" w:rsidP="00931DB2">
      <w:pPr>
        <w:pStyle w:val="Paragraphedeliste"/>
        <w:numPr>
          <w:ilvl w:val="0"/>
          <w:numId w:val="3"/>
        </w:numPr>
        <w:spacing w:line="240" w:lineRule="auto"/>
        <w:jc w:val="both"/>
        <w:rPr>
          <w:i/>
          <w:sz w:val="18"/>
          <w:szCs w:val="18"/>
        </w:rPr>
      </w:pPr>
      <w:r w:rsidRPr="0042490A">
        <w:rPr>
          <w:b/>
        </w:rPr>
        <w:t xml:space="preserve">Liliane </w:t>
      </w:r>
      <w:proofErr w:type="spellStart"/>
      <w:r w:rsidRPr="0042490A">
        <w:rPr>
          <w:b/>
        </w:rPr>
        <w:t>Messika</w:t>
      </w:r>
      <w:proofErr w:type="spellEnd"/>
      <w:r w:rsidRPr="0042490A">
        <w:rPr>
          <w:i/>
        </w:rPr>
        <w:t xml:space="preserve">, </w:t>
      </w:r>
      <w:proofErr w:type="spellStart"/>
      <w:r w:rsidRPr="0042490A">
        <w:t>Imagin’aires</w:t>
      </w:r>
      <w:proofErr w:type="spellEnd"/>
      <w:r w:rsidRPr="0042490A">
        <w:t xml:space="preserve"> de jeux : l’enfant, le jeu, la ville Ed. Autrement, 2000.</w:t>
      </w:r>
      <w:r w:rsidRPr="0042490A">
        <w:rPr>
          <w:i/>
        </w:rPr>
        <w:t xml:space="preserve"> </w:t>
      </w:r>
      <w:r w:rsidRPr="00931DB2">
        <w:rPr>
          <w:i/>
          <w:sz w:val="18"/>
          <w:szCs w:val="18"/>
        </w:rPr>
        <w:t>(S’il est désormais acquis que le jeu participe de la constitution de la personnalité, pourquoi la ville et l’urbanisme réservent-ils si peu de place aux jeux des enfants ?)</w:t>
      </w:r>
    </w:p>
    <w:p w:rsidR="00931DB2" w:rsidRDefault="00931DB2" w:rsidP="00931DB2">
      <w:pPr>
        <w:pStyle w:val="Paragraphedeliste"/>
        <w:numPr>
          <w:ilvl w:val="0"/>
          <w:numId w:val="3"/>
        </w:numPr>
        <w:spacing w:line="240" w:lineRule="auto"/>
        <w:jc w:val="both"/>
      </w:pPr>
      <w:r w:rsidRPr="0042490A">
        <w:rPr>
          <w:b/>
        </w:rPr>
        <w:t>D.W.Winnicott</w:t>
      </w:r>
      <w:r w:rsidRPr="0042490A">
        <w:t>, Jeu et réalité, Gallimard, 2015</w:t>
      </w:r>
    </w:p>
    <w:p w:rsidR="00931DB2" w:rsidRPr="0042490A" w:rsidRDefault="00931DB2" w:rsidP="00931DB2">
      <w:pPr>
        <w:pStyle w:val="Paragraphedeliste"/>
        <w:numPr>
          <w:ilvl w:val="0"/>
          <w:numId w:val="3"/>
        </w:numPr>
        <w:spacing w:line="240" w:lineRule="auto"/>
        <w:jc w:val="both"/>
      </w:pPr>
      <w:r w:rsidRPr="0042490A">
        <w:rPr>
          <w:b/>
        </w:rPr>
        <w:t xml:space="preserve">Jean-Marc </w:t>
      </w:r>
      <w:proofErr w:type="spellStart"/>
      <w:r w:rsidRPr="0042490A">
        <w:rPr>
          <w:b/>
        </w:rPr>
        <w:t>Lhôte</w:t>
      </w:r>
      <w:proofErr w:type="spellEnd"/>
      <w:r w:rsidRPr="0042490A">
        <w:rPr>
          <w:b/>
        </w:rPr>
        <w:t>,</w:t>
      </w:r>
      <w:r w:rsidRPr="0042490A">
        <w:t xml:space="preserve">  Histoire des jeux de société Flammarion, 1994.</w:t>
      </w:r>
    </w:p>
    <w:p w:rsidR="00931DB2" w:rsidRPr="0042490A" w:rsidRDefault="00931DB2" w:rsidP="00931DB2">
      <w:pPr>
        <w:pStyle w:val="Paragraphedeliste"/>
        <w:ind w:left="770"/>
      </w:pPr>
    </w:p>
    <w:p w:rsidR="0042490A" w:rsidRPr="0042490A" w:rsidRDefault="0042490A" w:rsidP="0012371C">
      <w:pPr>
        <w:pStyle w:val="NormalWeb"/>
        <w:shd w:val="clear" w:color="auto" w:fill="FDFDFC"/>
        <w:rPr>
          <w:rFonts w:asciiTheme="minorHAnsi" w:hAnsiTheme="minorHAnsi"/>
          <w:color w:val="222222"/>
          <w:sz w:val="22"/>
          <w:szCs w:val="22"/>
        </w:rPr>
      </w:pPr>
    </w:p>
    <w:p w:rsidR="0012371C" w:rsidRPr="0042490A" w:rsidRDefault="0012371C" w:rsidP="0042490A">
      <w:pPr>
        <w:pStyle w:val="NormalWeb"/>
        <w:numPr>
          <w:ilvl w:val="0"/>
          <w:numId w:val="5"/>
        </w:numPr>
        <w:shd w:val="clear" w:color="auto" w:fill="FDFDFC"/>
        <w:ind w:left="426"/>
        <w:rPr>
          <w:rFonts w:asciiTheme="minorHAnsi" w:hAnsiTheme="minorHAnsi"/>
          <w:b/>
          <w:color w:val="E36C0A" w:themeColor="accent6" w:themeShade="BF"/>
          <w:sz w:val="28"/>
          <w:szCs w:val="28"/>
        </w:rPr>
      </w:pPr>
      <w:r w:rsidRPr="0042490A">
        <w:rPr>
          <w:rFonts w:asciiTheme="minorHAnsi" w:hAnsiTheme="minorHAnsi"/>
          <w:b/>
          <w:color w:val="E36C0A" w:themeColor="accent6" w:themeShade="BF"/>
          <w:sz w:val="28"/>
          <w:szCs w:val="28"/>
        </w:rPr>
        <w:t>Jeu et apprentissage</w:t>
      </w:r>
    </w:p>
    <w:p w:rsidR="00931DB2" w:rsidRDefault="00931DB2" w:rsidP="00931DB2">
      <w:pPr>
        <w:pStyle w:val="NormalWeb"/>
        <w:shd w:val="clear" w:color="auto" w:fill="FDFDFC"/>
        <w:spacing w:line="240" w:lineRule="auto"/>
        <w:rPr>
          <w:rFonts w:asciiTheme="minorHAnsi" w:hAnsiTheme="minorHAnsi"/>
          <w:i/>
          <w:color w:val="222222"/>
          <w:sz w:val="18"/>
          <w:szCs w:val="18"/>
        </w:rPr>
      </w:pPr>
    </w:p>
    <w:p w:rsidR="0012371C" w:rsidRPr="00931DB2" w:rsidRDefault="0012371C" w:rsidP="00931DB2">
      <w:pPr>
        <w:pStyle w:val="NormalWeb"/>
        <w:shd w:val="clear" w:color="auto" w:fill="FDFDFC"/>
        <w:spacing w:line="240" w:lineRule="auto"/>
        <w:jc w:val="both"/>
        <w:rPr>
          <w:rFonts w:asciiTheme="minorHAnsi" w:hAnsiTheme="minorHAnsi"/>
          <w:i/>
          <w:noProof/>
          <w:color w:val="222222"/>
          <w:sz w:val="18"/>
          <w:szCs w:val="18"/>
        </w:rPr>
      </w:pPr>
      <w:r w:rsidRPr="00931DB2">
        <w:rPr>
          <w:rFonts w:asciiTheme="minorHAnsi" w:hAnsiTheme="minorHAnsi"/>
          <w:i/>
          <w:color w:val="222222"/>
          <w:sz w:val="18"/>
          <w:szCs w:val="18"/>
        </w:rPr>
        <w:t>Références dans le domaine ludique, ces deux ouvrages vous éclaireront sur le jeu, l’éducation et les rapports que ces deux mondes entretiennent :</w:t>
      </w:r>
    </w:p>
    <w:p w:rsidR="0012371C" w:rsidRPr="0042490A" w:rsidRDefault="0012371C" w:rsidP="00931DB2">
      <w:pPr>
        <w:pStyle w:val="NormalWeb"/>
        <w:numPr>
          <w:ilvl w:val="0"/>
          <w:numId w:val="1"/>
        </w:numPr>
        <w:shd w:val="clear" w:color="auto" w:fill="FDFDFC"/>
        <w:spacing w:line="240" w:lineRule="auto"/>
        <w:jc w:val="both"/>
        <w:rPr>
          <w:rFonts w:asciiTheme="minorHAnsi" w:hAnsiTheme="minorHAnsi"/>
          <w:noProof/>
          <w:color w:val="222222"/>
          <w:sz w:val="22"/>
          <w:szCs w:val="22"/>
        </w:rPr>
      </w:pPr>
      <w:r w:rsidRPr="0042490A">
        <w:rPr>
          <w:rStyle w:val="lev"/>
          <w:rFonts w:asciiTheme="minorHAnsi" w:hAnsiTheme="minorHAnsi"/>
          <w:color w:val="222222"/>
          <w:sz w:val="22"/>
          <w:szCs w:val="22"/>
        </w:rPr>
        <w:t xml:space="preserve">Gilles </w:t>
      </w:r>
      <w:proofErr w:type="spellStart"/>
      <w:r w:rsidRPr="0042490A">
        <w:rPr>
          <w:rStyle w:val="lev"/>
          <w:rFonts w:asciiTheme="minorHAnsi" w:hAnsiTheme="minorHAnsi"/>
          <w:color w:val="222222"/>
          <w:sz w:val="22"/>
          <w:szCs w:val="22"/>
        </w:rPr>
        <w:t>Brougere</w:t>
      </w:r>
      <w:proofErr w:type="spellEnd"/>
      <w:r w:rsidR="00C1443B">
        <w:rPr>
          <w:rFonts w:asciiTheme="minorHAnsi" w:hAnsiTheme="minorHAnsi"/>
          <w:color w:val="222222"/>
          <w:sz w:val="22"/>
          <w:szCs w:val="22"/>
        </w:rPr>
        <w:t xml:space="preserve">, </w:t>
      </w:r>
      <w:r w:rsidRPr="0042490A">
        <w:rPr>
          <w:rFonts w:asciiTheme="minorHAnsi" w:hAnsiTheme="minorHAnsi"/>
          <w:i/>
          <w:iCs/>
          <w:color w:val="222222"/>
          <w:sz w:val="22"/>
          <w:szCs w:val="22"/>
        </w:rPr>
        <w:t>Jeu et éducation</w:t>
      </w:r>
      <w:r w:rsidRPr="0042490A">
        <w:rPr>
          <w:rFonts w:asciiTheme="minorHAnsi" w:hAnsiTheme="minorHAnsi"/>
          <w:color w:val="222222"/>
          <w:sz w:val="22"/>
          <w:szCs w:val="22"/>
        </w:rPr>
        <w:t>, Paris, L’Harmattan</w:t>
      </w:r>
      <w:r w:rsidR="00C1443B">
        <w:rPr>
          <w:rFonts w:asciiTheme="minorHAnsi" w:hAnsiTheme="minorHAnsi"/>
          <w:color w:val="222222"/>
          <w:sz w:val="22"/>
          <w:szCs w:val="22"/>
        </w:rPr>
        <w:t>, 1995</w:t>
      </w:r>
      <w:r w:rsidRPr="0042490A">
        <w:rPr>
          <w:rFonts w:asciiTheme="minorHAnsi" w:hAnsiTheme="minorHAnsi"/>
          <w:color w:val="222222"/>
          <w:sz w:val="22"/>
          <w:szCs w:val="22"/>
        </w:rPr>
        <w:t>.</w:t>
      </w:r>
    </w:p>
    <w:p w:rsidR="00931DB2" w:rsidRDefault="0012371C" w:rsidP="00931DB2">
      <w:pPr>
        <w:pStyle w:val="NormalWeb"/>
        <w:numPr>
          <w:ilvl w:val="0"/>
          <w:numId w:val="1"/>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 xml:space="preserve">Gilles </w:t>
      </w:r>
      <w:proofErr w:type="spellStart"/>
      <w:r w:rsidRPr="0042490A">
        <w:rPr>
          <w:rStyle w:val="lev"/>
          <w:rFonts w:asciiTheme="minorHAnsi" w:hAnsiTheme="minorHAnsi"/>
          <w:color w:val="222222"/>
          <w:sz w:val="22"/>
          <w:szCs w:val="22"/>
        </w:rPr>
        <w:t>Brougere</w:t>
      </w:r>
      <w:proofErr w:type="spellEnd"/>
      <w:r w:rsidR="00C1443B">
        <w:rPr>
          <w:rFonts w:asciiTheme="minorHAnsi" w:hAnsiTheme="minorHAnsi"/>
          <w:color w:val="222222"/>
          <w:sz w:val="22"/>
          <w:szCs w:val="22"/>
        </w:rPr>
        <w:t xml:space="preserve">, </w:t>
      </w:r>
      <w:r w:rsidRPr="0042490A">
        <w:rPr>
          <w:rFonts w:asciiTheme="minorHAnsi" w:hAnsiTheme="minorHAnsi"/>
          <w:i/>
          <w:iCs/>
          <w:color w:val="222222"/>
          <w:sz w:val="22"/>
          <w:szCs w:val="22"/>
        </w:rPr>
        <w:t>Jouer/Apprendre</w:t>
      </w:r>
      <w:r w:rsidRPr="0042490A">
        <w:rPr>
          <w:rFonts w:asciiTheme="minorHAnsi" w:hAnsiTheme="minorHAnsi"/>
          <w:color w:val="222222"/>
          <w:sz w:val="22"/>
          <w:szCs w:val="22"/>
        </w:rPr>
        <w:t xml:space="preserve">, Paris, </w:t>
      </w:r>
      <w:proofErr w:type="spellStart"/>
      <w:r w:rsidRPr="0042490A">
        <w:rPr>
          <w:rFonts w:asciiTheme="minorHAnsi" w:hAnsiTheme="minorHAnsi"/>
          <w:color w:val="222222"/>
          <w:sz w:val="22"/>
          <w:szCs w:val="22"/>
        </w:rPr>
        <w:t>Economica</w:t>
      </w:r>
      <w:proofErr w:type="spellEnd"/>
      <w:r w:rsidR="00C1443B">
        <w:rPr>
          <w:rFonts w:asciiTheme="minorHAnsi" w:hAnsiTheme="minorHAnsi"/>
          <w:color w:val="222222"/>
          <w:sz w:val="22"/>
          <w:szCs w:val="22"/>
        </w:rPr>
        <w:t>, 2005</w:t>
      </w:r>
      <w:r w:rsidRPr="0042490A">
        <w:rPr>
          <w:rFonts w:asciiTheme="minorHAnsi" w:hAnsiTheme="minorHAnsi"/>
          <w:color w:val="222222"/>
          <w:sz w:val="22"/>
          <w:szCs w:val="22"/>
        </w:rPr>
        <w:t>.</w:t>
      </w:r>
    </w:p>
    <w:p w:rsidR="0012371C" w:rsidRPr="0042490A" w:rsidRDefault="0012371C" w:rsidP="00931DB2">
      <w:pPr>
        <w:pStyle w:val="NormalWeb"/>
        <w:shd w:val="clear" w:color="auto" w:fill="FDFDFC"/>
        <w:spacing w:line="240" w:lineRule="auto"/>
        <w:ind w:left="720"/>
        <w:jc w:val="both"/>
        <w:rPr>
          <w:rFonts w:asciiTheme="minorHAnsi" w:hAnsiTheme="minorHAnsi"/>
          <w:color w:val="222222"/>
          <w:sz w:val="22"/>
          <w:szCs w:val="22"/>
        </w:rPr>
      </w:pPr>
      <w:r w:rsidRPr="0042490A">
        <w:rPr>
          <w:rFonts w:asciiTheme="minorHAnsi" w:hAnsiTheme="minorHAnsi"/>
          <w:color w:val="222222"/>
          <w:sz w:val="22"/>
          <w:szCs w:val="22"/>
        </w:rPr>
        <w:br/>
      </w:r>
      <w:hyperlink r:id="rId5" w:tgtFrame="_blank" w:history="1"/>
    </w:p>
    <w:p w:rsidR="0012371C" w:rsidRPr="00931DB2" w:rsidRDefault="0012371C" w:rsidP="00931DB2">
      <w:pPr>
        <w:pStyle w:val="NormalWeb"/>
        <w:shd w:val="clear" w:color="auto" w:fill="FDFDFC"/>
        <w:spacing w:line="240" w:lineRule="auto"/>
        <w:jc w:val="both"/>
        <w:rPr>
          <w:rFonts w:asciiTheme="minorHAnsi" w:hAnsiTheme="minorHAnsi"/>
          <w:i/>
          <w:noProof/>
          <w:color w:val="222222"/>
          <w:sz w:val="18"/>
          <w:szCs w:val="18"/>
        </w:rPr>
      </w:pPr>
      <w:r w:rsidRPr="00931DB2">
        <w:rPr>
          <w:rFonts w:asciiTheme="minorHAnsi" w:hAnsiTheme="minorHAnsi"/>
          <w:i/>
          <w:color w:val="222222"/>
          <w:sz w:val="18"/>
          <w:szCs w:val="18"/>
        </w:rPr>
        <w:t>Le jeu, les jeux, et les liens qui unissent les hommes à leurs pratiques ludiques... Deux ouvrages sur le sujet :</w:t>
      </w:r>
    </w:p>
    <w:p w:rsidR="0012371C" w:rsidRPr="0042490A" w:rsidRDefault="0012371C" w:rsidP="00931DB2">
      <w:pPr>
        <w:pStyle w:val="NormalWeb"/>
        <w:numPr>
          <w:ilvl w:val="0"/>
          <w:numId w:val="2"/>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Roger Caillois</w:t>
      </w:r>
      <w:r w:rsidR="00C1443B">
        <w:rPr>
          <w:rFonts w:asciiTheme="minorHAnsi" w:hAnsiTheme="minorHAnsi"/>
          <w:color w:val="222222"/>
          <w:sz w:val="22"/>
          <w:szCs w:val="22"/>
        </w:rPr>
        <w:t xml:space="preserve">, </w:t>
      </w:r>
      <w:r w:rsidRPr="0042490A">
        <w:rPr>
          <w:rFonts w:asciiTheme="minorHAnsi" w:hAnsiTheme="minorHAnsi"/>
          <w:i/>
          <w:iCs/>
          <w:color w:val="222222"/>
          <w:sz w:val="22"/>
          <w:szCs w:val="22"/>
        </w:rPr>
        <w:t>Les jeux et les hommes</w:t>
      </w:r>
      <w:r w:rsidRPr="0042490A">
        <w:rPr>
          <w:rFonts w:asciiTheme="minorHAnsi" w:hAnsiTheme="minorHAnsi"/>
          <w:color w:val="222222"/>
          <w:sz w:val="22"/>
          <w:szCs w:val="22"/>
        </w:rPr>
        <w:t>, Paris, Gallimard</w:t>
      </w:r>
      <w:r w:rsidR="00C1443B">
        <w:rPr>
          <w:rFonts w:asciiTheme="minorHAnsi" w:hAnsiTheme="minorHAnsi"/>
          <w:color w:val="222222"/>
          <w:sz w:val="22"/>
          <w:szCs w:val="22"/>
        </w:rPr>
        <w:t>, 1958</w:t>
      </w:r>
      <w:r w:rsidRPr="0042490A">
        <w:rPr>
          <w:rFonts w:asciiTheme="minorHAnsi" w:hAnsiTheme="minorHAnsi"/>
          <w:color w:val="222222"/>
          <w:sz w:val="22"/>
          <w:szCs w:val="22"/>
        </w:rPr>
        <w:t>.</w:t>
      </w:r>
    </w:p>
    <w:p w:rsidR="00931DB2" w:rsidRDefault="0012371C" w:rsidP="00931DB2">
      <w:pPr>
        <w:pStyle w:val="NormalWeb"/>
        <w:numPr>
          <w:ilvl w:val="0"/>
          <w:numId w:val="2"/>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Jacques Henriot</w:t>
      </w:r>
      <w:r w:rsidR="00C1443B">
        <w:rPr>
          <w:rFonts w:asciiTheme="minorHAnsi" w:hAnsiTheme="minorHAnsi"/>
          <w:color w:val="222222"/>
          <w:sz w:val="22"/>
          <w:szCs w:val="22"/>
        </w:rPr>
        <w:t xml:space="preserve">, </w:t>
      </w:r>
      <w:r w:rsidRPr="0042490A">
        <w:rPr>
          <w:rFonts w:asciiTheme="minorHAnsi" w:hAnsiTheme="minorHAnsi"/>
          <w:i/>
          <w:iCs/>
          <w:color w:val="222222"/>
          <w:sz w:val="22"/>
          <w:szCs w:val="22"/>
        </w:rPr>
        <w:t>Sous couleur de jouer</w:t>
      </w:r>
      <w:r w:rsidRPr="0042490A">
        <w:rPr>
          <w:rFonts w:asciiTheme="minorHAnsi" w:hAnsiTheme="minorHAnsi"/>
          <w:color w:val="222222"/>
          <w:sz w:val="22"/>
          <w:szCs w:val="22"/>
        </w:rPr>
        <w:t>, Paris, José Corti</w:t>
      </w:r>
      <w:r w:rsidR="00C1443B">
        <w:rPr>
          <w:rFonts w:asciiTheme="minorHAnsi" w:hAnsiTheme="minorHAnsi"/>
          <w:color w:val="222222"/>
          <w:sz w:val="22"/>
          <w:szCs w:val="22"/>
        </w:rPr>
        <w:t>, 2002</w:t>
      </w:r>
      <w:r w:rsidRPr="0042490A">
        <w:rPr>
          <w:rFonts w:asciiTheme="minorHAnsi" w:hAnsiTheme="minorHAnsi"/>
          <w:color w:val="222222"/>
          <w:sz w:val="22"/>
          <w:szCs w:val="22"/>
        </w:rPr>
        <w:t>.</w:t>
      </w:r>
    </w:p>
    <w:p w:rsidR="0012371C" w:rsidRPr="0042490A" w:rsidRDefault="0012371C" w:rsidP="00931DB2">
      <w:pPr>
        <w:pStyle w:val="NormalWeb"/>
        <w:shd w:val="clear" w:color="auto" w:fill="FDFDFC"/>
        <w:spacing w:line="240" w:lineRule="auto"/>
        <w:ind w:left="770"/>
        <w:jc w:val="both"/>
        <w:rPr>
          <w:rFonts w:asciiTheme="minorHAnsi" w:hAnsiTheme="minorHAnsi"/>
          <w:color w:val="222222"/>
          <w:sz w:val="22"/>
          <w:szCs w:val="22"/>
        </w:rPr>
      </w:pPr>
      <w:r w:rsidRPr="0042490A">
        <w:rPr>
          <w:rFonts w:asciiTheme="minorHAnsi" w:hAnsiTheme="minorHAnsi"/>
          <w:color w:val="222222"/>
          <w:sz w:val="22"/>
          <w:szCs w:val="22"/>
        </w:rPr>
        <w:br/>
      </w:r>
      <w:hyperlink r:id="rId6" w:tgtFrame="_blank" w:history="1"/>
    </w:p>
    <w:p w:rsidR="0012371C" w:rsidRPr="00931DB2" w:rsidRDefault="0012371C" w:rsidP="00931DB2">
      <w:pPr>
        <w:pStyle w:val="NormalWeb"/>
        <w:shd w:val="clear" w:color="auto" w:fill="FDFDFC"/>
        <w:spacing w:line="240" w:lineRule="auto"/>
        <w:jc w:val="both"/>
        <w:rPr>
          <w:rFonts w:asciiTheme="minorHAnsi" w:hAnsiTheme="minorHAnsi"/>
          <w:i/>
          <w:noProof/>
          <w:color w:val="222222"/>
          <w:sz w:val="18"/>
          <w:szCs w:val="18"/>
        </w:rPr>
      </w:pPr>
      <w:r w:rsidRPr="00931DB2">
        <w:rPr>
          <w:rFonts w:asciiTheme="minorHAnsi" w:hAnsiTheme="minorHAnsi"/>
          <w:i/>
          <w:color w:val="222222"/>
          <w:sz w:val="18"/>
          <w:szCs w:val="18"/>
        </w:rPr>
        <w:t>La théorie, c’est bien, mais sur le terrain comment fait-on ? Deux ouvrages disciplinaires et pédagogiques :</w:t>
      </w:r>
    </w:p>
    <w:p w:rsidR="0012371C" w:rsidRPr="0042490A" w:rsidRDefault="0012371C" w:rsidP="00931DB2">
      <w:pPr>
        <w:pStyle w:val="NormalWeb"/>
        <w:numPr>
          <w:ilvl w:val="0"/>
          <w:numId w:val="4"/>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 xml:space="preserve">Alain </w:t>
      </w:r>
      <w:proofErr w:type="spellStart"/>
      <w:r w:rsidRPr="0042490A">
        <w:rPr>
          <w:rStyle w:val="lev"/>
          <w:rFonts w:asciiTheme="minorHAnsi" w:hAnsiTheme="minorHAnsi"/>
          <w:color w:val="222222"/>
          <w:sz w:val="22"/>
          <w:szCs w:val="22"/>
        </w:rPr>
        <w:t>Dalongeville</w:t>
      </w:r>
      <w:proofErr w:type="spellEnd"/>
      <w:r w:rsidRPr="0042490A">
        <w:rPr>
          <w:rStyle w:val="lev"/>
          <w:rFonts w:asciiTheme="minorHAnsi" w:hAnsiTheme="minorHAnsi"/>
          <w:color w:val="222222"/>
          <w:sz w:val="22"/>
          <w:szCs w:val="22"/>
        </w:rPr>
        <w:t xml:space="preserve"> et Michel Huber</w:t>
      </w:r>
      <w:r w:rsidR="00C1443B">
        <w:rPr>
          <w:rFonts w:asciiTheme="minorHAnsi" w:hAnsiTheme="minorHAnsi"/>
          <w:color w:val="222222"/>
          <w:sz w:val="22"/>
          <w:szCs w:val="22"/>
        </w:rPr>
        <w:t xml:space="preserve">, </w:t>
      </w:r>
      <w:r w:rsidRPr="0042490A">
        <w:rPr>
          <w:rFonts w:asciiTheme="minorHAnsi" w:hAnsiTheme="minorHAnsi"/>
          <w:i/>
          <w:iCs/>
          <w:color w:val="222222"/>
          <w:sz w:val="22"/>
          <w:szCs w:val="22"/>
        </w:rPr>
        <w:t>Enseigner l’histoire autrement</w:t>
      </w:r>
      <w:r w:rsidRPr="0042490A">
        <w:rPr>
          <w:rFonts w:asciiTheme="minorHAnsi" w:hAnsiTheme="minorHAnsi"/>
          <w:color w:val="222222"/>
          <w:sz w:val="22"/>
          <w:szCs w:val="22"/>
        </w:rPr>
        <w:t>, Lyon, Chronique sociale</w:t>
      </w:r>
      <w:r w:rsidR="00C1443B">
        <w:rPr>
          <w:rFonts w:asciiTheme="minorHAnsi" w:hAnsiTheme="minorHAnsi"/>
          <w:color w:val="222222"/>
          <w:sz w:val="22"/>
          <w:szCs w:val="22"/>
        </w:rPr>
        <w:t>, 2002</w:t>
      </w:r>
      <w:r w:rsidRPr="0042490A">
        <w:rPr>
          <w:rFonts w:asciiTheme="minorHAnsi" w:hAnsiTheme="minorHAnsi"/>
          <w:color w:val="222222"/>
          <w:sz w:val="22"/>
          <w:szCs w:val="22"/>
        </w:rPr>
        <w:t>.</w:t>
      </w:r>
    </w:p>
    <w:p w:rsidR="00931DB2" w:rsidRDefault="0012371C" w:rsidP="00931DB2">
      <w:pPr>
        <w:pStyle w:val="NormalWeb"/>
        <w:numPr>
          <w:ilvl w:val="0"/>
          <w:numId w:val="4"/>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 xml:space="preserve">Jocelyne Richard, Éric </w:t>
      </w:r>
      <w:proofErr w:type="spellStart"/>
      <w:r w:rsidRPr="0042490A">
        <w:rPr>
          <w:rStyle w:val="lev"/>
          <w:rFonts w:asciiTheme="minorHAnsi" w:hAnsiTheme="minorHAnsi"/>
          <w:color w:val="222222"/>
          <w:sz w:val="22"/>
          <w:szCs w:val="22"/>
        </w:rPr>
        <w:t>Trouillot</w:t>
      </w:r>
      <w:proofErr w:type="spellEnd"/>
      <w:r w:rsidRPr="0042490A">
        <w:rPr>
          <w:rStyle w:val="lev"/>
          <w:rFonts w:asciiTheme="minorHAnsi" w:hAnsiTheme="minorHAnsi"/>
          <w:color w:val="222222"/>
          <w:sz w:val="22"/>
          <w:szCs w:val="22"/>
        </w:rPr>
        <w:t xml:space="preserve">, Didier </w:t>
      </w:r>
      <w:proofErr w:type="spellStart"/>
      <w:r w:rsidRPr="0042490A">
        <w:rPr>
          <w:rStyle w:val="lev"/>
          <w:rFonts w:asciiTheme="minorHAnsi" w:hAnsiTheme="minorHAnsi"/>
          <w:color w:val="222222"/>
          <w:sz w:val="22"/>
          <w:szCs w:val="22"/>
        </w:rPr>
        <w:t>Faradji</w:t>
      </w:r>
      <w:proofErr w:type="spellEnd"/>
      <w:r w:rsidRPr="0042490A">
        <w:rPr>
          <w:rStyle w:val="lev"/>
          <w:rFonts w:asciiTheme="minorHAnsi" w:hAnsiTheme="minorHAnsi"/>
          <w:color w:val="222222"/>
          <w:sz w:val="22"/>
          <w:szCs w:val="22"/>
        </w:rPr>
        <w:t>, Philippe Le Borgne</w:t>
      </w:r>
      <w:r w:rsidR="00C1443B">
        <w:rPr>
          <w:rFonts w:asciiTheme="minorHAnsi" w:hAnsiTheme="minorHAnsi"/>
          <w:color w:val="222222"/>
          <w:sz w:val="22"/>
          <w:szCs w:val="22"/>
        </w:rPr>
        <w:t xml:space="preserve">, </w:t>
      </w:r>
      <w:r w:rsidRPr="0042490A">
        <w:rPr>
          <w:rFonts w:asciiTheme="minorHAnsi" w:hAnsiTheme="minorHAnsi"/>
          <w:i/>
          <w:iCs/>
          <w:color w:val="222222"/>
          <w:sz w:val="22"/>
          <w:szCs w:val="22"/>
        </w:rPr>
        <w:t>Mathématiques et jeux au collège</w:t>
      </w:r>
      <w:r w:rsidRPr="0042490A">
        <w:rPr>
          <w:rFonts w:asciiTheme="minorHAnsi" w:hAnsiTheme="minorHAnsi"/>
          <w:color w:val="222222"/>
          <w:sz w:val="22"/>
          <w:szCs w:val="22"/>
        </w:rPr>
        <w:t>, Paris, Hachette, coll. Ressources Formation</w:t>
      </w:r>
      <w:r w:rsidR="00C1443B">
        <w:rPr>
          <w:rFonts w:asciiTheme="minorHAnsi" w:hAnsiTheme="minorHAnsi"/>
          <w:color w:val="222222"/>
          <w:sz w:val="22"/>
          <w:szCs w:val="22"/>
        </w:rPr>
        <w:t>, 2005</w:t>
      </w:r>
      <w:r w:rsidRPr="0042490A">
        <w:rPr>
          <w:rFonts w:asciiTheme="minorHAnsi" w:hAnsiTheme="minorHAnsi"/>
          <w:color w:val="222222"/>
          <w:sz w:val="22"/>
          <w:szCs w:val="22"/>
        </w:rPr>
        <w:t>.</w:t>
      </w:r>
    </w:p>
    <w:p w:rsidR="0012371C" w:rsidRPr="0042490A" w:rsidRDefault="0012371C" w:rsidP="00931DB2">
      <w:pPr>
        <w:pStyle w:val="NormalWeb"/>
        <w:shd w:val="clear" w:color="auto" w:fill="FDFDFC"/>
        <w:spacing w:line="240" w:lineRule="auto"/>
        <w:ind w:left="770"/>
        <w:jc w:val="both"/>
        <w:rPr>
          <w:rFonts w:asciiTheme="minorHAnsi" w:hAnsiTheme="minorHAnsi"/>
          <w:color w:val="222222"/>
          <w:sz w:val="22"/>
          <w:szCs w:val="22"/>
        </w:rPr>
      </w:pPr>
      <w:r w:rsidRPr="0042490A">
        <w:rPr>
          <w:rFonts w:asciiTheme="minorHAnsi" w:hAnsiTheme="minorHAnsi"/>
          <w:color w:val="222222"/>
          <w:sz w:val="22"/>
          <w:szCs w:val="22"/>
        </w:rPr>
        <w:br/>
      </w:r>
    </w:p>
    <w:p w:rsidR="0012371C" w:rsidRPr="00931DB2" w:rsidRDefault="0012371C" w:rsidP="00931DB2">
      <w:pPr>
        <w:pStyle w:val="NormalWeb"/>
        <w:shd w:val="clear" w:color="auto" w:fill="FDFDFC"/>
        <w:spacing w:line="240" w:lineRule="auto"/>
        <w:jc w:val="both"/>
        <w:rPr>
          <w:rFonts w:asciiTheme="minorHAnsi" w:hAnsiTheme="minorHAnsi"/>
          <w:i/>
          <w:noProof/>
          <w:color w:val="222222"/>
          <w:sz w:val="18"/>
          <w:szCs w:val="18"/>
        </w:rPr>
      </w:pPr>
      <w:r w:rsidRPr="00931DB2">
        <w:rPr>
          <w:rFonts w:asciiTheme="minorHAnsi" w:hAnsiTheme="minorHAnsi"/>
          <w:i/>
          <w:color w:val="222222"/>
          <w:sz w:val="18"/>
          <w:szCs w:val="18"/>
        </w:rPr>
        <w:t>Les liens entre le jeu, les théories de l’apprentissage, et leurs applications sur le terrain :</w:t>
      </w:r>
    </w:p>
    <w:p w:rsidR="00931DB2" w:rsidRDefault="0012371C" w:rsidP="00931DB2">
      <w:pPr>
        <w:pStyle w:val="NormalWeb"/>
        <w:numPr>
          <w:ilvl w:val="0"/>
          <w:numId w:val="3"/>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 xml:space="preserve">Martine </w:t>
      </w:r>
      <w:proofErr w:type="spellStart"/>
      <w:r w:rsidRPr="0042490A">
        <w:rPr>
          <w:rStyle w:val="lev"/>
          <w:rFonts w:asciiTheme="minorHAnsi" w:hAnsiTheme="minorHAnsi"/>
          <w:color w:val="222222"/>
          <w:sz w:val="22"/>
          <w:szCs w:val="22"/>
        </w:rPr>
        <w:t>Mauriras</w:t>
      </w:r>
      <w:proofErr w:type="spellEnd"/>
      <w:r w:rsidRPr="0042490A">
        <w:rPr>
          <w:rStyle w:val="lev"/>
          <w:rFonts w:asciiTheme="minorHAnsi" w:hAnsiTheme="minorHAnsi"/>
          <w:color w:val="222222"/>
          <w:sz w:val="22"/>
          <w:szCs w:val="22"/>
        </w:rPr>
        <w:t>-Bousquet</w:t>
      </w:r>
      <w:r w:rsidR="00931DB2">
        <w:rPr>
          <w:rFonts w:asciiTheme="minorHAnsi" w:hAnsiTheme="minorHAnsi"/>
          <w:color w:val="222222"/>
          <w:sz w:val="22"/>
          <w:szCs w:val="22"/>
        </w:rPr>
        <w:t xml:space="preserve">, </w:t>
      </w:r>
      <w:r w:rsidRPr="0042490A">
        <w:rPr>
          <w:rFonts w:asciiTheme="minorHAnsi" w:hAnsiTheme="minorHAnsi"/>
          <w:i/>
          <w:iCs/>
          <w:color w:val="222222"/>
          <w:sz w:val="22"/>
          <w:szCs w:val="22"/>
        </w:rPr>
        <w:t>Théorie et pratique ludiques</w:t>
      </w:r>
      <w:r w:rsidRPr="0042490A">
        <w:rPr>
          <w:rFonts w:asciiTheme="minorHAnsi" w:hAnsiTheme="minorHAnsi"/>
          <w:color w:val="222222"/>
          <w:sz w:val="22"/>
          <w:szCs w:val="22"/>
        </w:rPr>
        <w:t xml:space="preserve">, Paris, </w:t>
      </w:r>
      <w:proofErr w:type="spellStart"/>
      <w:r w:rsidRPr="0042490A">
        <w:rPr>
          <w:rFonts w:asciiTheme="minorHAnsi" w:hAnsiTheme="minorHAnsi"/>
          <w:color w:val="222222"/>
          <w:sz w:val="22"/>
          <w:szCs w:val="22"/>
        </w:rPr>
        <w:t>Economica</w:t>
      </w:r>
      <w:proofErr w:type="spellEnd"/>
      <w:r w:rsidR="00931DB2">
        <w:rPr>
          <w:rFonts w:asciiTheme="minorHAnsi" w:hAnsiTheme="minorHAnsi"/>
          <w:color w:val="222222"/>
          <w:sz w:val="22"/>
          <w:szCs w:val="22"/>
        </w:rPr>
        <w:t>, 1984</w:t>
      </w:r>
      <w:r w:rsidRPr="0042490A">
        <w:rPr>
          <w:rFonts w:asciiTheme="minorHAnsi" w:hAnsiTheme="minorHAnsi"/>
          <w:color w:val="222222"/>
          <w:sz w:val="22"/>
          <w:szCs w:val="22"/>
        </w:rPr>
        <w:t>.</w:t>
      </w:r>
    </w:p>
    <w:p w:rsidR="0012371C" w:rsidRPr="0042490A" w:rsidRDefault="0012371C" w:rsidP="00931DB2">
      <w:pPr>
        <w:pStyle w:val="NormalWeb"/>
        <w:shd w:val="clear" w:color="auto" w:fill="FDFDFC"/>
        <w:spacing w:line="240" w:lineRule="auto"/>
        <w:ind w:left="770"/>
        <w:jc w:val="both"/>
        <w:rPr>
          <w:rFonts w:asciiTheme="minorHAnsi" w:hAnsiTheme="minorHAnsi"/>
          <w:color w:val="222222"/>
          <w:sz w:val="22"/>
          <w:szCs w:val="22"/>
        </w:rPr>
      </w:pPr>
      <w:r w:rsidRPr="0042490A">
        <w:rPr>
          <w:rFonts w:asciiTheme="minorHAnsi" w:hAnsiTheme="minorHAnsi"/>
          <w:color w:val="222222"/>
          <w:sz w:val="22"/>
          <w:szCs w:val="22"/>
        </w:rPr>
        <w:br/>
      </w:r>
    </w:p>
    <w:p w:rsidR="0012371C" w:rsidRPr="00931DB2" w:rsidRDefault="0012371C" w:rsidP="00931DB2">
      <w:pPr>
        <w:pStyle w:val="NormalWeb"/>
        <w:shd w:val="clear" w:color="auto" w:fill="FDFDFC"/>
        <w:spacing w:line="240" w:lineRule="auto"/>
        <w:jc w:val="both"/>
        <w:rPr>
          <w:rFonts w:asciiTheme="minorHAnsi" w:hAnsiTheme="minorHAnsi"/>
          <w:i/>
          <w:noProof/>
          <w:color w:val="222222"/>
          <w:sz w:val="18"/>
          <w:szCs w:val="18"/>
        </w:rPr>
      </w:pPr>
      <w:r w:rsidRPr="00931DB2">
        <w:rPr>
          <w:rFonts w:asciiTheme="minorHAnsi" w:hAnsiTheme="minorHAnsi"/>
          <w:i/>
          <w:color w:val="222222"/>
          <w:sz w:val="18"/>
          <w:szCs w:val="18"/>
        </w:rPr>
        <w:t>Une réflexion philosophique sur le monde et ses « jeux » :</w:t>
      </w:r>
    </w:p>
    <w:p w:rsidR="00931DB2" w:rsidRDefault="0012371C" w:rsidP="00931DB2">
      <w:pPr>
        <w:pStyle w:val="NormalWeb"/>
        <w:numPr>
          <w:ilvl w:val="0"/>
          <w:numId w:val="3"/>
        </w:numPr>
        <w:shd w:val="clear" w:color="auto" w:fill="FDFDFC"/>
        <w:spacing w:line="240" w:lineRule="auto"/>
        <w:jc w:val="both"/>
        <w:rPr>
          <w:rFonts w:asciiTheme="minorHAnsi" w:hAnsiTheme="minorHAnsi"/>
          <w:color w:val="222222"/>
          <w:sz w:val="22"/>
          <w:szCs w:val="22"/>
        </w:rPr>
      </w:pPr>
      <w:r w:rsidRPr="0042490A">
        <w:rPr>
          <w:rStyle w:val="lev"/>
          <w:rFonts w:asciiTheme="minorHAnsi" w:hAnsiTheme="minorHAnsi"/>
          <w:color w:val="222222"/>
          <w:sz w:val="22"/>
          <w:szCs w:val="22"/>
        </w:rPr>
        <w:t xml:space="preserve">Philippe </w:t>
      </w:r>
      <w:proofErr w:type="spellStart"/>
      <w:r w:rsidRPr="0042490A">
        <w:rPr>
          <w:rStyle w:val="lev"/>
          <w:rFonts w:asciiTheme="minorHAnsi" w:hAnsiTheme="minorHAnsi"/>
          <w:color w:val="222222"/>
          <w:sz w:val="22"/>
          <w:szCs w:val="22"/>
        </w:rPr>
        <w:t>Meirieu</w:t>
      </w:r>
      <w:proofErr w:type="spellEnd"/>
      <w:r w:rsidR="00931DB2">
        <w:rPr>
          <w:rFonts w:asciiTheme="minorHAnsi" w:hAnsiTheme="minorHAnsi"/>
          <w:color w:val="222222"/>
          <w:sz w:val="22"/>
          <w:szCs w:val="22"/>
        </w:rPr>
        <w:t xml:space="preserve">, </w:t>
      </w:r>
      <w:r w:rsidRPr="0042490A">
        <w:rPr>
          <w:rFonts w:asciiTheme="minorHAnsi" w:hAnsiTheme="minorHAnsi"/>
          <w:i/>
          <w:iCs/>
          <w:color w:val="222222"/>
          <w:sz w:val="22"/>
          <w:szCs w:val="22"/>
        </w:rPr>
        <w:t>Le monde n’est pas un jouet</w:t>
      </w:r>
      <w:r w:rsidRPr="0042490A">
        <w:rPr>
          <w:rFonts w:asciiTheme="minorHAnsi" w:hAnsiTheme="minorHAnsi"/>
          <w:color w:val="222222"/>
          <w:sz w:val="22"/>
          <w:szCs w:val="22"/>
        </w:rPr>
        <w:t xml:space="preserve">, Paris, </w:t>
      </w:r>
      <w:proofErr w:type="spellStart"/>
      <w:r w:rsidRPr="0042490A">
        <w:rPr>
          <w:rFonts w:asciiTheme="minorHAnsi" w:hAnsiTheme="minorHAnsi"/>
          <w:color w:val="222222"/>
          <w:sz w:val="22"/>
          <w:szCs w:val="22"/>
        </w:rPr>
        <w:t>Desclée</w:t>
      </w:r>
      <w:proofErr w:type="spellEnd"/>
      <w:r w:rsidRPr="0042490A">
        <w:rPr>
          <w:rFonts w:asciiTheme="minorHAnsi" w:hAnsiTheme="minorHAnsi"/>
          <w:color w:val="222222"/>
          <w:sz w:val="22"/>
          <w:szCs w:val="22"/>
        </w:rPr>
        <w:t xml:space="preserve"> de Brouwer</w:t>
      </w:r>
      <w:r w:rsidR="00931DB2">
        <w:rPr>
          <w:rFonts w:asciiTheme="minorHAnsi" w:hAnsiTheme="minorHAnsi"/>
          <w:color w:val="222222"/>
          <w:sz w:val="22"/>
          <w:szCs w:val="22"/>
        </w:rPr>
        <w:t>, 2004</w:t>
      </w:r>
      <w:r w:rsidRPr="0042490A">
        <w:rPr>
          <w:rFonts w:asciiTheme="minorHAnsi" w:hAnsiTheme="minorHAnsi"/>
          <w:color w:val="222222"/>
          <w:sz w:val="22"/>
          <w:szCs w:val="22"/>
        </w:rPr>
        <w:t>.</w:t>
      </w:r>
    </w:p>
    <w:p w:rsidR="0012371C" w:rsidRPr="0042490A" w:rsidRDefault="0012371C" w:rsidP="00931DB2">
      <w:pPr>
        <w:pStyle w:val="NormalWeb"/>
        <w:shd w:val="clear" w:color="auto" w:fill="FDFDFC"/>
        <w:spacing w:line="240" w:lineRule="auto"/>
        <w:ind w:left="770"/>
        <w:jc w:val="both"/>
        <w:rPr>
          <w:rFonts w:asciiTheme="minorHAnsi" w:hAnsiTheme="minorHAnsi"/>
          <w:color w:val="222222"/>
          <w:sz w:val="22"/>
          <w:szCs w:val="22"/>
        </w:rPr>
      </w:pPr>
      <w:r w:rsidRPr="0042490A">
        <w:rPr>
          <w:rFonts w:asciiTheme="minorHAnsi" w:hAnsiTheme="minorHAnsi"/>
          <w:color w:val="222222"/>
          <w:sz w:val="22"/>
          <w:szCs w:val="22"/>
        </w:rPr>
        <w:lastRenderedPageBreak/>
        <w:br/>
      </w:r>
    </w:p>
    <w:p w:rsidR="009139D4" w:rsidRPr="00931DB2" w:rsidRDefault="009139D4" w:rsidP="00931DB2">
      <w:pPr>
        <w:spacing w:line="240" w:lineRule="auto"/>
        <w:jc w:val="both"/>
        <w:rPr>
          <w:i/>
        </w:rPr>
      </w:pPr>
    </w:p>
    <w:p w:rsidR="00CD7E92" w:rsidRPr="0042490A" w:rsidRDefault="006B1001" w:rsidP="00931DB2">
      <w:pPr>
        <w:pStyle w:val="Paragraphedeliste"/>
        <w:numPr>
          <w:ilvl w:val="0"/>
          <w:numId w:val="5"/>
        </w:numPr>
        <w:ind w:left="426"/>
        <w:jc w:val="both"/>
        <w:rPr>
          <w:b/>
          <w:color w:val="E36C0A" w:themeColor="accent6" w:themeShade="BF"/>
          <w:sz w:val="28"/>
          <w:szCs w:val="28"/>
        </w:rPr>
      </w:pPr>
      <w:r w:rsidRPr="0042490A">
        <w:rPr>
          <w:b/>
          <w:color w:val="E36C0A" w:themeColor="accent6" w:themeShade="BF"/>
          <w:sz w:val="28"/>
          <w:szCs w:val="28"/>
        </w:rPr>
        <w:t>Jeux coopératifs</w:t>
      </w:r>
    </w:p>
    <w:p w:rsidR="009139D4" w:rsidRPr="0042490A" w:rsidRDefault="009139D4" w:rsidP="00931DB2">
      <w:pPr>
        <w:pStyle w:val="Paragraphedeliste"/>
        <w:jc w:val="both"/>
        <w:rPr>
          <w:b/>
        </w:rPr>
      </w:pPr>
    </w:p>
    <w:p w:rsidR="006B1001" w:rsidRPr="0042490A" w:rsidRDefault="006B1001" w:rsidP="00931DB2">
      <w:pPr>
        <w:pStyle w:val="Paragraphedeliste"/>
        <w:numPr>
          <w:ilvl w:val="0"/>
          <w:numId w:val="6"/>
        </w:numPr>
        <w:spacing w:line="240" w:lineRule="auto"/>
        <w:ind w:left="709"/>
        <w:jc w:val="both"/>
      </w:pPr>
      <w:r w:rsidRPr="0042490A">
        <w:rPr>
          <w:rFonts w:cs="Arial"/>
          <w:bCs/>
        </w:rPr>
        <w:t>Jeux coopératifs physiques pour apprendre par le corps</w:t>
      </w:r>
      <w:r w:rsidR="009139D4" w:rsidRPr="0042490A">
        <w:rPr>
          <w:rFonts w:cs="Arial"/>
          <w:bCs/>
        </w:rPr>
        <w:t>, revue animation et éducation A&amp;E n°239 : mars 2014</w:t>
      </w:r>
    </w:p>
    <w:p w:rsidR="005B398D" w:rsidRPr="0042490A" w:rsidRDefault="005B398D" w:rsidP="00931DB2">
      <w:pPr>
        <w:pStyle w:val="Paragraphedeliste"/>
        <w:numPr>
          <w:ilvl w:val="0"/>
          <w:numId w:val="6"/>
        </w:numPr>
        <w:spacing w:line="240" w:lineRule="auto"/>
        <w:ind w:left="709"/>
        <w:jc w:val="both"/>
      </w:pPr>
      <w:r w:rsidRPr="0042490A">
        <w:t xml:space="preserve">"Jouons ensemble" / 40 jeux coopératifs pour les groupes / Edition </w:t>
      </w:r>
      <w:proofErr w:type="spellStart"/>
      <w:r w:rsidRPr="0042490A">
        <w:t>Non-Violence</w:t>
      </w:r>
      <w:proofErr w:type="spellEnd"/>
      <w:r w:rsidRPr="0042490A">
        <w:t xml:space="preserve"> Actualité</w:t>
      </w:r>
    </w:p>
    <w:p w:rsidR="005B398D" w:rsidRPr="0042490A" w:rsidRDefault="005B398D" w:rsidP="00931DB2">
      <w:pPr>
        <w:pStyle w:val="Paragraphedeliste"/>
        <w:numPr>
          <w:ilvl w:val="0"/>
          <w:numId w:val="6"/>
        </w:numPr>
        <w:spacing w:line="240" w:lineRule="auto"/>
        <w:ind w:left="709"/>
        <w:jc w:val="both"/>
      </w:pPr>
      <w:r w:rsidRPr="0042490A">
        <w:t xml:space="preserve">"Je coopère, je m'amuse" / 100 jeux coopératifs à découvrir / Christine Fortin / Edition </w:t>
      </w:r>
      <w:proofErr w:type="spellStart"/>
      <w:r w:rsidRPr="0042490A">
        <w:t>Chenelière</w:t>
      </w:r>
      <w:proofErr w:type="spellEnd"/>
      <w:r w:rsidRPr="0042490A">
        <w:t>/Pirouette</w:t>
      </w:r>
    </w:p>
    <w:p w:rsidR="005B398D" w:rsidRDefault="005B398D" w:rsidP="00931DB2">
      <w:pPr>
        <w:pStyle w:val="Paragraphedeliste"/>
        <w:numPr>
          <w:ilvl w:val="0"/>
          <w:numId w:val="6"/>
        </w:numPr>
        <w:spacing w:line="240" w:lineRule="auto"/>
        <w:ind w:left="709"/>
        <w:jc w:val="both"/>
      </w:pPr>
      <w:r w:rsidRPr="0042490A">
        <w:t xml:space="preserve">Jeux coopératifs pour bâtir la paix Tome 1 et 2 - Mildred </w:t>
      </w:r>
      <w:proofErr w:type="spellStart"/>
      <w:r w:rsidRPr="0042490A">
        <w:t>Masheder</w:t>
      </w:r>
      <w:proofErr w:type="spellEnd"/>
      <w:r w:rsidRPr="0042490A">
        <w:t xml:space="preserve"> / Université de paix - Chronique Sociale</w:t>
      </w:r>
    </w:p>
    <w:p w:rsidR="0062683A" w:rsidRDefault="0062683A" w:rsidP="0062683A">
      <w:pPr>
        <w:spacing w:line="240" w:lineRule="auto"/>
        <w:jc w:val="both"/>
      </w:pPr>
    </w:p>
    <w:p w:rsidR="0062683A" w:rsidRPr="0062683A" w:rsidRDefault="0062683A" w:rsidP="0062683A">
      <w:pPr>
        <w:spacing w:line="240" w:lineRule="auto"/>
        <w:jc w:val="both"/>
        <w:rPr>
          <w:b/>
          <w:color w:val="E36C0A" w:themeColor="accent6" w:themeShade="BF"/>
        </w:rPr>
      </w:pPr>
      <w:r w:rsidRPr="0062683A">
        <w:rPr>
          <w:b/>
          <w:color w:val="E36C0A" w:themeColor="accent6" w:themeShade="BF"/>
        </w:rPr>
        <w:t xml:space="preserve">LES REVUES </w:t>
      </w:r>
    </w:p>
    <w:p w:rsidR="0062683A" w:rsidRDefault="0062683A" w:rsidP="0062683A">
      <w:pPr>
        <w:spacing w:line="240" w:lineRule="auto"/>
        <w:jc w:val="both"/>
      </w:pPr>
      <w:r>
        <w:t xml:space="preserve">Revue l’Erre, Le jeu du je, 5° Congrès de la FNAREN, Besançon, mai 1989 </w:t>
      </w:r>
    </w:p>
    <w:p w:rsidR="0062683A" w:rsidRDefault="0062683A" w:rsidP="0062683A">
      <w:pPr>
        <w:spacing w:line="240" w:lineRule="auto"/>
        <w:jc w:val="both"/>
      </w:pPr>
      <w:r>
        <w:t xml:space="preserve">Revue Autrement n°133, Le jouet, valeurs et paradoxes d’un petit objet secret, </w:t>
      </w:r>
      <w:proofErr w:type="spellStart"/>
      <w:r>
        <w:t>nov</w:t>
      </w:r>
      <w:proofErr w:type="spellEnd"/>
      <w:r>
        <w:t xml:space="preserve"> 1992 </w:t>
      </w:r>
    </w:p>
    <w:p w:rsidR="0062683A" w:rsidRPr="0042490A" w:rsidRDefault="0062683A" w:rsidP="0062683A">
      <w:pPr>
        <w:spacing w:line="240" w:lineRule="auto"/>
        <w:jc w:val="both"/>
      </w:pPr>
      <w:r>
        <w:t>Cahiers pédagogiques n° 448 décembre 2006</w:t>
      </w:r>
    </w:p>
    <w:sectPr w:rsidR="0062683A" w:rsidRPr="0042490A" w:rsidSect="00AC72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5823"/>
    <w:multiLevelType w:val="hybridMultilevel"/>
    <w:tmpl w:val="0F4EA63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39437045"/>
    <w:multiLevelType w:val="hybridMultilevel"/>
    <w:tmpl w:val="8BA4A5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07A1EB9"/>
    <w:multiLevelType w:val="hybridMultilevel"/>
    <w:tmpl w:val="6FF0E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F80665"/>
    <w:multiLevelType w:val="hybridMultilevel"/>
    <w:tmpl w:val="FA5C49B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nsid w:val="7A6D6F98"/>
    <w:multiLevelType w:val="hybridMultilevel"/>
    <w:tmpl w:val="D6D2B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C6566A"/>
    <w:multiLevelType w:val="hybridMultilevel"/>
    <w:tmpl w:val="E6AAC39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12371C"/>
    <w:rsid w:val="0012371C"/>
    <w:rsid w:val="00130FBA"/>
    <w:rsid w:val="0042490A"/>
    <w:rsid w:val="005B398D"/>
    <w:rsid w:val="0062683A"/>
    <w:rsid w:val="006B1001"/>
    <w:rsid w:val="009139D4"/>
    <w:rsid w:val="00931DB2"/>
    <w:rsid w:val="00AC72A5"/>
    <w:rsid w:val="00C1443B"/>
    <w:rsid w:val="00CD7E92"/>
    <w:rsid w:val="00F077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371C"/>
    <w:rPr>
      <w:strike w:val="0"/>
      <w:dstrike w:val="0"/>
      <w:color w:val="990000"/>
      <w:u w:val="none"/>
      <w:effect w:val="none"/>
    </w:rPr>
  </w:style>
  <w:style w:type="character" w:styleId="lev">
    <w:name w:val="Strong"/>
    <w:basedOn w:val="Policepardfaut"/>
    <w:uiPriority w:val="22"/>
    <w:qFormat/>
    <w:rsid w:val="0012371C"/>
    <w:rPr>
      <w:b/>
      <w:bCs/>
    </w:rPr>
  </w:style>
  <w:style w:type="paragraph" w:styleId="NormalWeb">
    <w:name w:val="Normal (Web)"/>
    <w:basedOn w:val="Normal"/>
    <w:uiPriority w:val="99"/>
    <w:semiHidden/>
    <w:unhideWhenUsed/>
    <w:rsid w:val="0012371C"/>
    <w:pPr>
      <w:spacing w:after="0" w:line="336" w:lineRule="atLeast"/>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1237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371C"/>
    <w:rPr>
      <w:rFonts w:ascii="Tahoma" w:hAnsi="Tahoma" w:cs="Tahoma"/>
      <w:sz w:val="16"/>
      <w:szCs w:val="16"/>
    </w:rPr>
  </w:style>
  <w:style w:type="paragraph" w:styleId="Paragraphedeliste">
    <w:name w:val="List Paragraph"/>
    <w:basedOn w:val="Normal"/>
    <w:uiPriority w:val="34"/>
    <w:qFormat/>
    <w:rsid w:val="0012371C"/>
    <w:pPr>
      <w:ind w:left="720"/>
      <w:contextualSpacing/>
    </w:pPr>
  </w:style>
</w:styles>
</file>

<file path=word/webSettings.xml><?xml version="1.0" encoding="utf-8"?>
<w:webSettings xmlns:r="http://schemas.openxmlformats.org/officeDocument/2006/relationships" xmlns:w="http://schemas.openxmlformats.org/wordprocessingml/2006/main">
  <w:divs>
    <w:div w:id="906379707">
      <w:bodyDiv w:val="1"/>
      <w:marLeft w:val="0"/>
      <w:marRight w:val="0"/>
      <w:marTop w:val="0"/>
      <w:marBottom w:val="0"/>
      <w:divBdr>
        <w:top w:val="none" w:sz="0" w:space="0" w:color="auto"/>
        <w:left w:val="none" w:sz="0" w:space="0" w:color="auto"/>
        <w:bottom w:val="none" w:sz="0" w:space="0" w:color="auto"/>
        <w:right w:val="none" w:sz="0" w:space="0" w:color="auto"/>
      </w:divBdr>
      <w:divsChild>
        <w:div w:id="441144768">
          <w:marLeft w:val="0"/>
          <w:marRight w:val="0"/>
          <w:marTop w:val="0"/>
          <w:marBottom w:val="0"/>
          <w:divBdr>
            <w:top w:val="none" w:sz="0" w:space="0" w:color="auto"/>
            <w:left w:val="none" w:sz="0" w:space="0" w:color="auto"/>
            <w:bottom w:val="none" w:sz="0" w:space="0" w:color="auto"/>
            <w:right w:val="none" w:sz="0" w:space="0" w:color="auto"/>
          </w:divBdr>
          <w:divsChild>
            <w:div w:id="1983075975">
              <w:marLeft w:val="0"/>
              <w:marRight w:val="0"/>
              <w:marTop w:val="0"/>
              <w:marBottom w:val="0"/>
              <w:divBdr>
                <w:top w:val="none" w:sz="0" w:space="0" w:color="auto"/>
                <w:left w:val="none" w:sz="0" w:space="0" w:color="auto"/>
                <w:bottom w:val="none" w:sz="0" w:space="0" w:color="auto"/>
                <w:right w:val="none" w:sz="0" w:space="0" w:color="auto"/>
              </w:divBdr>
              <w:divsChild>
                <w:div w:id="175921982">
                  <w:marLeft w:val="0"/>
                  <w:marRight w:val="0"/>
                  <w:marTop w:val="0"/>
                  <w:marBottom w:val="0"/>
                  <w:divBdr>
                    <w:top w:val="none" w:sz="0" w:space="0" w:color="auto"/>
                    <w:left w:val="none" w:sz="0" w:space="0" w:color="auto"/>
                    <w:bottom w:val="none" w:sz="0" w:space="0" w:color="auto"/>
                    <w:right w:val="none" w:sz="0" w:space="0" w:color="auto"/>
                  </w:divBdr>
                  <w:divsChild>
                    <w:div w:id="999114353">
                      <w:marLeft w:val="0"/>
                      <w:marRight w:val="0"/>
                      <w:marTop w:val="0"/>
                      <w:marBottom w:val="0"/>
                      <w:divBdr>
                        <w:top w:val="none" w:sz="0" w:space="0" w:color="auto"/>
                        <w:left w:val="none" w:sz="0" w:space="0" w:color="auto"/>
                        <w:bottom w:val="none" w:sz="0" w:space="0" w:color="auto"/>
                        <w:right w:val="none" w:sz="0" w:space="0" w:color="auto"/>
                      </w:divBdr>
                      <w:divsChild>
                        <w:div w:id="231235609">
                          <w:marLeft w:val="0"/>
                          <w:marRight w:val="0"/>
                          <w:marTop w:val="0"/>
                          <w:marBottom w:val="0"/>
                          <w:divBdr>
                            <w:top w:val="none" w:sz="0" w:space="0" w:color="auto"/>
                            <w:left w:val="none" w:sz="0" w:space="0" w:color="auto"/>
                            <w:bottom w:val="none" w:sz="0" w:space="0" w:color="auto"/>
                            <w:right w:val="none" w:sz="0" w:space="0" w:color="auto"/>
                          </w:divBdr>
                          <w:divsChild>
                            <w:div w:id="1298300096">
                              <w:marLeft w:val="0"/>
                              <w:marRight w:val="0"/>
                              <w:marTop w:val="0"/>
                              <w:marBottom w:val="0"/>
                              <w:divBdr>
                                <w:top w:val="none" w:sz="0" w:space="0" w:color="auto"/>
                                <w:left w:val="none" w:sz="0" w:space="0" w:color="auto"/>
                                <w:bottom w:val="none" w:sz="0" w:space="0" w:color="auto"/>
                                <w:right w:val="none" w:sz="0" w:space="0" w:color="auto"/>
                              </w:divBdr>
                              <w:divsChild>
                                <w:div w:id="729768835">
                                  <w:marLeft w:val="0"/>
                                  <w:marRight w:val="0"/>
                                  <w:marTop w:val="0"/>
                                  <w:marBottom w:val="0"/>
                                  <w:divBdr>
                                    <w:top w:val="none" w:sz="0" w:space="0" w:color="auto"/>
                                    <w:left w:val="none" w:sz="0" w:space="0" w:color="auto"/>
                                    <w:bottom w:val="none" w:sz="0" w:space="0" w:color="auto"/>
                                    <w:right w:val="none" w:sz="0" w:space="0" w:color="auto"/>
                                  </w:divBdr>
                                  <w:divsChild>
                                    <w:div w:id="1888645586">
                                      <w:marLeft w:val="0"/>
                                      <w:marRight w:val="0"/>
                                      <w:marTop w:val="0"/>
                                      <w:marBottom w:val="0"/>
                                      <w:divBdr>
                                        <w:top w:val="none" w:sz="0" w:space="0" w:color="auto"/>
                                        <w:left w:val="none" w:sz="0" w:space="0" w:color="auto"/>
                                        <w:bottom w:val="none" w:sz="0" w:space="0" w:color="auto"/>
                                        <w:right w:val="none" w:sz="0" w:space="0" w:color="auto"/>
                                      </w:divBdr>
                                      <w:divsChild>
                                        <w:div w:id="1502627137">
                                          <w:marLeft w:val="0"/>
                                          <w:marRight w:val="0"/>
                                          <w:marTop w:val="0"/>
                                          <w:marBottom w:val="0"/>
                                          <w:divBdr>
                                            <w:top w:val="none" w:sz="0" w:space="0" w:color="auto"/>
                                            <w:left w:val="none" w:sz="0" w:space="0" w:color="auto"/>
                                            <w:bottom w:val="none" w:sz="0" w:space="0" w:color="auto"/>
                                            <w:right w:val="none" w:sz="0" w:space="0" w:color="auto"/>
                                          </w:divBdr>
                                          <w:divsChild>
                                            <w:div w:id="526019664">
                                              <w:marLeft w:val="0"/>
                                              <w:marRight w:val="0"/>
                                              <w:marTop w:val="0"/>
                                              <w:marBottom w:val="0"/>
                                              <w:divBdr>
                                                <w:top w:val="none" w:sz="0" w:space="0" w:color="auto"/>
                                                <w:left w:val="none" w:sz="0" w:space="0" w:color="auto"/>
                                                <w:bottom w:val="none" w:sz="0" w:space="0" w:color="auto"/>
                                                <w:right w:val="none" w:sz="0" w:space="0" w:color="auto"/>
                                              </w:divBdr>
                                              <w:divsChild>
                                                <w:div w:id="756100060">
                                                  <w:marLeft w:val="0"/>
                                                  <w:marRight w:val="0"/>
                                                  <w:marTop w:val="0"/>
                                                  <w:marBottom w:val="0"/>
                                                  <w:divBdr>
                                                    <w:top w:val="none" w:sz="0" w:space="0" w:color="auto"/>
                                                    <w:left w:val="none" w:sz="0" w:space="0" w:color="auto"/>
                                                    <w:bottom w:val="none" w:sz="0" w:space="0" w:color="auto"/>
                                                    <w:right w:val="none" w:sz="0" w:space="0" w:color="auto"/>
                                                  </w:divBdr>
                                                  <w:divsChild>
                                                    <w:div w:id="1039479042">
                                                      <w:marLeft w:val="0"/>
                                                      <w:marRight w:val="0"/>
                                                      <w:marTop w:val="0"/>
                                                      <w:marBottom w:val="0"/>
                                                      <w:divBdr>
                                                        <w:top w:val="none" w:sz="0" w:space="0" w:color="auto"/>
                                                        <w:left w:val="none" w:sz="0" w:space="0" w:color="auto"/>
                                                        <w:bottom w:val="none" w:sz="0" w:space="0" w:color="auto"/>
                                                        <w:right w:val="none" w:sz="0" w:space="0" w:color="auto"/>
                                                      </w:divBdr>
                                                      <w:divsChild>
                                                        <w:div w:id="704406870">
                                                          <w:marLeft w:val="0"/>
                                                          <w:marRight w:val="0"/>
                                                          <w:marTop w:val="0"/>
                                                          <w:marBottom w:val="0"/>
                                                          <w:divBdr>
                                                            <w:top w:val="none" w:sz="0" w:space="0" w:color="auto"/>
                                                            <w:left w:val="none" w:sz="0" w:space="0" w:color="auto"/>
                                                            <w:bottom w:val="none" w:sz="0" w:space="0" w:color="auto"/>
                                                            <w:right w:val="none" w:sz="0" w:space="0" w:color="auto"/>
                                                          </w:divBdr>
                                                          <w:divsChild>
                                                            <w:div w:id="581110527">
                                                              <w:marLeft w:val="0"/>
                                                              <w:marRight w:val="0"/>
                                                              <w:marTop w:val="0"/>
                                                              <w:marBottom w:val="0"/>
                                                              <w:divBdr>
                                                                <w:top w:val="none" w:sz="0" w:space="0" w:color="auto"/>
                                                                <w:left w:val="none" w:sz="0" w:space="0" w:color="auto"/>
                                                                <w:bottom w:val="none" w:sz="0" w:space="0" w:color="auto"/>
                                                                <w:right w:val="none" w:sz="0" w:space="0" w:color="auto"/>
                                                              </w:divBdr>
                                                              <w:divsChild>
                                                                <w:div w:id="996343976">
                                                                  <w:marLeft w:val="0"/>
                                                                  <w:marRight w:val="0"/>
                                                                  <w:marTop w:val="0"/>
                                                                  <w:marBottom w:val="0"/>
                                                                  <w:divBdr>
                                                                    <w:top w:val="none" w:sz="0" w:space="0" w:color="auto"/>
                                                                    <w:left w:val="none" w:sz="0" w:space="0" w:color="auto"/>
                                                                    <w:bottom w:val="none" w:sz="0" w:space="0" w:color="auto"/>
                                                                    <w:right w:val="none" w:sz="0" w:space="0" w:color="auto"/>
                                                                  </w:divBdr>
                                                                </w:div>
                                                                <w:div w:id="694579486">
                                                                  <w:marLeft w:val="0"/>
                                                                  <w:marRight w:val="0"/>
                                                                  <w:marTop w:val="0"/>
                                                                  <w:marBottom w:val="0"/>
                                                                  <w:divBdr>
                                                                    <w:top w:val="none" w:sz="0" w:space="0" w:color="auto"/>
                                                                    <w:left w:val="none" w:sz="0" w:space="0" w:color="auto"/>
                                                                    <w:bottom w:val="none" w:sz="0" w:space="0" w:color="auto"/>
                                                                    <w:right w:val="none" w:sz="0" w:space="0" w:color="auto"/>
                                                                  </w:divBdr>
                                                                  <w:divsChild>
                                                                    <w:div w:id="9734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324">
                                                              <w:marLeft w:val="0"/>
                                                              <w:marRight w:val="0"/>
                                                              <w:marTop w:val="0"/>
                                                              <w:marBottom w:val="0"/>
                                                              <w:divBdr>
                                                                <w:top w:val="none" w:sz="0" w:space="0" w:color="auto"/>
                                                                <w:left w:val="none" w:sz="0" w:space="0" w:color="auto"/>
                                                                <w:bottom w:val="none" w:sz="0" w:space="0" w:color="auto"/>
                                                                <w:right w:val="none" w:sz="0" w:space="0" w:color="auto"/>
                                                              </w:divBdr>
                                                            </w:div>
                                                            <w:div w:id="12949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7868534">
      <w:bodyDiv w:val="1"/>
      <w:marLeft w:val="0"/>
      <w:marRight w:val="0"/>
      <w:marTop w:val="0"/>
      <w:marBottom w:val="0"/>
      <w:divBdr>
        <w:top w:val="none" w:sz="0" w:space="0" w:color="auto"/>
        <w:left w:val="none" w:sz="0" w:space="0" w:color="auto"/>
        <w:bottom w:val="none" w:sz="0" w:space="0" w:color="auto"/>
        <w:right w:val="none" w:sz="0" w:space="0" w:color="auto"/>
      </w:divBdr>
      <w:divsChild>
        <w:div w:id="572085129">
          <w:marLeft w:val="0"/>
          <w:marRight w:val="0"/>
          <w:marTop w:val="0"/>
          <w:marBottom w:val="0"/>
          <w:divBdr>
            <w:top w:val="none" w:sz="0" w:space="0" w:color="auto"/>
            <w:left w:val="none" w:sz="0" w:space="0" w:color="auto"/>
            <w:bottom w:val="none" w:sz="0" w:space="0" w:color="auto"/>
            <w:right w:val="none" w:sz="0" w:space="0" w:color="auto"/>
          </w:divBdr>
          <w:divsChild>
            <w:div w:id="943002896">
              <w:marLeft w:val="23"/>
              <w:marRight w:val="0"/>
              <w:marTop w:val="0"/>
              <w:marBottom w:val="0"/>
              <w:divBdr>
                <w:top w:val="none" w:sz="0" w:space="0" w:color="auto"/>
                <w:left w:val="single" w:sz="2" w:space="0" w:color="DFE0E0"/>
                <w:bottom w:val="none" w:sz="0" w:space="0" w:color="auto"/>
                <w:right w:val="single" w:sz="2" w:space="0" w:color="DFE0E0"/>
              </w:divBdr>
              <w:divsChild>
                <w:div w:id="556204874">
                  <w:marLeft w:val="0"/>
                  <w:marRight w:val="0"/>
                  <w:marTop w:val="0"/>
                  <w:marBottom w:val="0"/>
                  <w:divBdr>
                    <w:top w:val="none" w:sz="0" w:space="0" w:color="auto"/>
                    <w:left w:val="none" w:sz="0" w:space="0" w:color="auto"/>
                    <w:bottom w:val="none" w:sz="0" w:space="0" w:color="auto"/>
                    <w:right w:val="none" w:sz="0" w:space="0" w:color="auto"/>
                  </w:divBdr>
                  <w:divsChild>
                    <w:div w:id="17550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page.com/-/Fiche/Livres/2714303250/?donnee_appel=COGCB&amp;fulltext=Sous%20couleur%20de%20jouer&amp;sv=X_L" TargetMode="External"/><Relationship Id="rId5" Type="http://schemas.openxmlformats.org/officeDocument/2006/relationships/hyperlink" Target="http://www.alapage.com/-/Fiche/Livres/2717851194/?donnee_appel=COGCB&amp;fulltext=Jouer%20Apprendre&amp;sv=X_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2948</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2015-12-26T17:42:00Z</dcterms:created>
  <dcterms:modified xsi:type="dcterms:W3CDTF">2015-12-26T17:42:00Z</dcterms:modified>
</cp:coreProperties>
</file>