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93" w:rsidRPr="00E16C44" w:rsidRDefault="00E16C44" w:rsidP="00F83F9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111111"/>
          <w:sz w:val="22"/>
          <w:szCs w:val="22"/>
        </w:rPr>
      </w:pPr>
      <w:r>
        <w:rPr>
          <w:rFonts w:asciiTheme="minorHAnsi" w:hAnsiTheme="minorHAnsi" w:cs="Arial"/>
          <w:noProof/>
          <w:color w:val="111111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900545" y="900545"/>
            <wp:positionH relativeFrom="margin">
              <wp:align>left</wp:align>
            </wp:positionH>
            <wp:positionV relativeFrom="margin">
              <wp:align>top</wp:align>
            </wp:positionV>
            <wp:extent cx="1400175" cy="21621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 populair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F93" w:rsidRPr="00E16C44">
        <w:rPr>
          <w:rFonts w:asciiTheme="minorHAnsi" w:hAnsiTheme="minorHAnsi" w:cs="Arial"/>
          <w:color w:val="111111"/>
          <w:sz w:val="22"/>
          <w:szCs w:val="22"/>
        </w:rPr>
        <w:t>Cet ouvrage</w:t>
      </w:r>
      <w:r w:rsidR="00F83F93" w:rsidRPr="00E16C44">
        <w:rPr>
          <w:rFonts w:asciiTheme="minorHAnsi" w:hAnsiTheme="minorHAnsi" w:cs="Arial"/>
          <w:color w:val="111111"/>
          <w:sz w:val="22"/>
          <w:szCs w:val="22"/>
        </w:rPr>
        <w:t xml:space="preserve"> dresse un tableau de l’éducation populaire entre 1815 et 1945, début de son institutionnalisation avec un regard particulier porté sur les techniques : chanson, lecture populaire, documentation, cinéma,...</w:t>
      </w:r>
    </w:p>
    <w:p w:rsidR="00F83F93" w:rsidRPr="00E16C44" w:rsidRDefault="00F83F93" w:rsidP="00F83F9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111111"/>
          <w:sz w:val="22"/>
          <w:szCs w:val="22"/>
        </w:rPr>
      </w:pPr>
      <w:r w:rsidRPr="00E16C44">
        <w:rPr>
          <w:rFonts w:asciiTheme="minorHAnsi" w:hAnsiTheme="minorHAnsi" w:cs="Arial"/>
          <w:color w:val="111111"/>
          <w:sz w:val="22"/>
          <w:szCs w:val="22"/>
        </w:rPr>
        <w:t>Vingt-huit contributions autour des relations avec l’école, la question du genre et la dimension politique de l’éducation populaire. Des action</w:t>
      </w:r>
      <w:r w:rsidRPr="00E16C44">
        <w:rPr>
          <w:rFonts w:asciiTheme="minorHAnsi" w:hAnsiTheme="minorHAnsi" w:cs="Arial"/>
          <w:color w:val="111111"/>
          <w:sz w:val="22"/>
          <w:szCs w:val="22"/>
        </w:rPr>
        <w:t>s</w:t>
      </w:r>
      <w:r w:rsidRPr="00E16C44">
        <w:rPr>
          <w:rFonts w:asciiTheme="minorHAnsi" w:hAnsiTheme="minorHAnsi" w:cs="Arial"/>
          <w:color w:val="111111"/>
          <w:sz w:val="22"/>
          <w:szCs w:val="22"/>
        </w:rPr>
        <w:t xml:space="preserve"> d’individus et groupes, plus ou moins connus et d'institutions comme les universités populaires de province ou la Jeunesse ouvrière chrétienne sont également évoquées.</w:t>
      </w:r>
    </w:p>
    <w:p w:rsidR="00F83F93" w:rsidRPr="00E16C44" w:rsidRDefault="00F83F93" w:rsidP="00F83F9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111111"/>
          <w:sz w:val="22"/>
          <w:szCs w:val="22"/>
        </w:rPr>
      </w:pPr>
      <w:r w:rsidRPr="00E16C44">
        <w:rPr>
          <w:rFonts w:asciiTheme="minorHAnsi" w:hAnsiTheme="minorHAnsi" w:cs="Arial"/>
          <w:color w:val="111111"/>
          <w:sz w:val="22"/>
          <w:szCs w:val="22"/>
        </w:rPr>
        <w:t>Un livre p</w:t>
      </w:r>
      <w:r w:rsidRPr="00E16C44">
        <w:rPr>
          <w:rFonts w:asciiTheme="minorHAnsi" w:hAnsiTheme="minorHAnsi" w:cs="Arial"/>
          <w:color w:val="111111"/>
          <w:sz w:val="22"/>
          <w:szCs w:val="22"/>
        </w:rPr>
        <w:t xml:space="preserve">our les animateurs, directeurs et </w:t>
      </w:r>
      <w:r w:rsidRPr="00E16C44">
        <w:rPr>
          <w:rFonts w:asciiTheme="minorHAnsi" w:hAnsiTheme="minorHAnsi" w:cs="Arial"/>
          <w:color w:val="111111"/>
          <w:sz w:val="22"/>
          <w:szCs w:val="22"/>
        </w:rPr>
        <w:t>formateurs</w:t>
      </w:r>
      <w:r w:rsidRPr="00E16C44">
        <w:rPr>
          <w:rFonts w:asciiTheme="minorHAnsi" w:hAnsiTheme="minorHAnsi" w:cs="Arial"/>
          <w:color w:val="111111"/>
          <w:sz w:val="22"/>
          <w:szCs w:val="22"/>
        </w:rPr>
        <w:t xml:space="preserve"> qui veulent se rappeler dans quelle histoire s'in</w:t>
      </w:r>
      <w:r w:rsidRPr="00E16C44">
        <w:rPr>
          <w:rFonts w:asciiTheme="minorHAnsi" w:hAnsiTheme="minorHAnsi" w:cs="Arial"/>
          <w:color w:val="111111"/>
          <w:sz w:val="22"/>
          <w:szCs w:val="22"/>
        </w:rPr>
        <w:t>scrit leur action d'aujourd'hui…</w:t>
      </w:r>
    </w:p>
    <w:p w:rsidR="00E16C44" w:rsidRDefault="00E16C44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u w:val="single"/>
          <w:lang w:eastAsia="fr-FR"/>
        </w:rPr>
      </w:pPr>
    </w:p>
    <w:p w:rsidR="00F83F93" w:rsidRPr="00F83F93" w:rsidRDefault="00F83F93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  <w:r w:rsidRPr="00F83F93">
        <w:rPr>
          <w:rFonts w:eastAsia="Times New Roman" w:cs="Arial"/>
          <w:color w:val="111111"/>
          <w:sz w:val="15"/>
          <w:szCs w:val="15"/>
          <w:u w:val="single"/>
          <w:lang w:eastAsia="fr-FR"/>
        </w:rPr>
        <w:t>Histoire de l’éducation populaire, 1815-1945</w:t>
      </w:r>
    </w:p>
    <w:p w:rsidR="00F83F93" w:rsidRPr="00F83F93" w:rsidRDefault="00F83F93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  <w:r w:rsidRPr="00E16C44">
        <w:rPr>
          <w:rFonts w:eastAsia="Times New Roman" w:cs="Arial"/>
          <w:b/>
          <w:bCs/>
          <w:color w:val="111111"/>
          <w:sz w:val="15"/>
          <w:szCs w:val="15"/>
          <w:lang w:eastAsia="fr-FR"/>
        </w:rPr>
        <w:t>Carole Christen et Laurent Besse </w:t>
      </w:r>
      <w:r w:rsidRPr="00F83F93">
        <w:rPr>
          <w:rFonts w:eastAsia="Times New Roman" w:cs="Arial"/>
          <w:color w:val="111111"/>
          <w:sz w:val="15"/>
          <w:szCs w:val="15"/>
          <w:lang w:eastAsia="fr-FR"/>
        </w:rPr>
        <w:t>(</w:t>
      </w:r>
      <w:proofErr w:type="spellStart"/>
      <w:r w:rsidRPr="00F83F93">
        <w:rPr>
          <w:rFonts w:eastAsia="Times New Roman" w:cs="Arial"/>
          <w:color w:val="111111"/>
          <w:sz w:val="15"/>
          <w:szCs w:val="15"/>
          <w:lang w:eastAsia="fr-FR"/>
        </w:rPr>
        <w:t>dir</w:t>
      </w:r>
      <w:proofErr w:type="spellEnd"/>
      <w:r w:rsidRPr="00F83F93">
        <w:rPr>
          <w:rFonts w:eastAsia="Times New Roman" w:cs="Arial"/>
          <w:color w:val="111111"/>
          <w:sz w:val="15"/>
          <w:szCs w:val="15"/>
          <w:lang w:eastAsia="fr-FR"/>
        </w:rPr>
        <w:t>.)</w:t>
      </w:r>
    </w:p>
    <w:p w:rsidR="00F83F93" w:rsidRPr="00F83F93" w:rsidRDefault="00F83F93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  <w:hyperlink r:id="rId6" w:history="1">
        <w:r w:rsidRPr="00E16C44">
          <w:rPr>
            <w:rFonts w:eastAsia="Times New Roman" w:cs="Arial"/>
            <w:color w:val="999999"/>
            <w:sz w:val="15"/>
            <w:szCs w:val="15"/>
            <w:lang w:eastAsia="fr-FR"/>
          </w:rPr>
          <w:t>Presses Universitaires du Septentrion</w:t>
        </w:r>
      </w:hyperlink>
    </w:p>
    <w:p w:rsidR="00F83F93" w:rsidRPr="00F83F93" w:rsidRDefault="00F83F93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  <w:r w:rsidRPr="00F83F93">
        <w:rPr>
          <w:rFonts w:eastAsia="Times New Roman" w:cs="Arial"/>
          <w:color w:val="111111"/>
          <w:sz w:val="15"/>
          <w:szCs w:val="15"/>
          <w:lang w:eastAsia="fr-FR"/>
        </w:rPr>
        <w:t>03/2017, 432 pages</w:t>
      </w:r>
    </w:p>
    <w:p w:rsidR="00F83F93" w:rsidRPr="00E16C44" w:rsidRDefault="00F83F93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  <w:r w:rsidRPr="00F83F93">
        <w:rPr>
          <w:rFonts w:eastAsia="Times New Roman" w:cs="Arial"/>
          <w:color w:val="111111"/>
          <w:sz w:val="15"/>
          <w:szCs w:val="15"/>
          <w:lang w:eastAsia="fr-FR"/>
        </w:rPr>
        <w:t>ISBN 978-2-7574-1496-5</w:t>
      </w:r>
    </w:p>
    <w:p w:rsidR="00E16C44" w:rsidRPr="00E16C44" w:rsidRDefault="00E16C44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</w:p>
    <w:p w:rsidR="00F83F93" w:rsidRPr="00E16C44" w:rsidRDefault="00F83F93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</w:p>
    <w:p w:rsidR="00E16C44" w:rsidRPr="00E16C44" w:rsidRDefault="00E16C44" w:rsidP="00F83F93">
      <w:pPr>
        <w:shd w:val="clear" w:color="auto" w:fill="FFFFFF"/>
        <w:spacing w:after="0" w:line="240" w:lineRule="auto"/>
        <w:rPr>
          <w:rFonts w:eastAsia="Times New Roman" w:cs="Arial"/>
          <w:b/>
          <w:color w:val="111111"/>
          <w:sz w:val="28"/>
          <w:szCs w:val="28"/>
          <w:lang w:eastAsia="fr-FR"/>
        </w:rPr>
      </w:pPr>
      <w:r w:rsidRPr="00E16C44">
        <w:rPr>
          <w:rFonts w:eastAsia="Times New Roman" w:cs="Arial"/>
          <w:b/>
          <w:color w:val="111111"/>
          <w:sz w:val="28"/>
          <w:szCs w:val="28"/>
          <w:lang w:eastAsia="fr-FR"/>
        </w:rPr>
        <w:t>SOMMAIRE</w:t>
      </w:r>
    </w:p>
    <w:p w:rsidR="00E16C44" w:rsidRDefault="00E16C44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33"/>
          <w:sz w:val="20"/>
          <w:szCs w:val="20"/>
        </w:rPr>
      </w:pPr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b/>
          <w:color w:val="333333"/>
          <w:sz w:val="20"/>
          <w:szCs w:val="20"/>
        </w:rPr>
        <w:t>Introduction.</w:t>
      </w:r>
      <w:r w:rsidRPr="00E16C44">
        <w:rPr>
          <w:rFonts w:asciiTheme="minorHAnsi" w:hAnsiTheme="minorHAnsi"/>
          <w:color w:val="333333"/>
          <w:sz w:val="20"/>
          <w:szCs w:val="20"/>
        </w:rPr>
        <w:t xml:space="preserve"> Retracer l'histoire de l’éducation populaire (1815-1945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Carole Christen, Laurent Besse</w:t>
      </w:r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Préambule</w:t>
      </w:r>
      <w:r w:rsidRPr="00E16C44">
        <w:rPr>
          <w:rFonts w:asciiTheme="minorHAnsi" w:hAnsiTheme="minorHAnsi"/>
          <w:b/>
          <w:bCs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Une enquête, un objet : L’éducation populaire</w:t>
      </w:r>
    </w:p>
    <w:p w:rsidR="00F83F93" w:rsidRPr="00E16C44" w:rsidRDefault="00F83F93" w:rsidP="00E16C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L’histoire de l’éducation populaire en chantier : quelques points de repère</w:t>
      </w:r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Laurent Besse, Carole Christen</w:t>
      </w:r>
    </w:p>
    <w:p w:rsidR="00F83F93" w:rsidRPr="00E16C44" w:rsidRDefault="00F83F93" w:rsidP="00E16C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L’expression « éducation populaire » dans les discours publics français (1815-1950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 xml:space="preserve">Frédéric </w:t>
      </w:r>
      <w:proofErr w:type="spellStart"/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Chateigner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L’éducation populaire en Espagne (deuxième moitié du XIXe siècle-premier tiers du XXe). Quelques aperçus historiographiques (1982-2010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 xml:space="preserve">Jean-Louis </w:t>
      </w:r>
      <w:proofErr w:type="spellStart"/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Guereña</w:t>
      </w:r>
      <w:proofErr w:type="spellEnd"/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Première partie</w:t>
      </w:r>
      <w:r w:rsidRPr="00E16C44">
        <w:rPr>
          <w:rFonts w:asciiTheme="minorHAnsi" w:hAnsiTheme="minorHAnsi"/>
          <w:b/>
          <w:bCs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L’éducation populaire : faire de la politique autrement ?</w:t>
      </w:r>
    </w:p>
    <w:p w:rsidR="00F83F93" w:rsidRPr="00E16C44" w:rsidRDefault="00F83F93" w:rsidP="00E16C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Introduction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Carole Christen</w:t>
      </w:r>
    </w:p>
    <w:p w:rsidR="00F83F93" w:rsidRPr="00E16C44" w:rsidRDefault="00F83F93" w:rsidP="00E16C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 xml:space="preserve">La lecture publique des lois comme moyen d’éducation civique populaire au cours de la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Sattelzeit</w:t>
      </w:r>
      <w:proofErr w:type="spellEnd"/>
      <w:r w:rsidRPr="00E16C44">
        <w:rPr>
          <w:rFonts w:asciiTheme="minorHAnsi" w:hAnsiTheme="minorHAnsi"/>
          <w:color w:val="333333"/>
          <w:sz w:val="20"/>
          <w:szCs w:val="20"/>
        </w:rPr>
        <w:t> : quelques exemples européens</w:t>
      </w:r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 xml:space="preserve">Émilie </w:t>
      </w:r>
      <w:proofErr w:type="spellStart"/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Delivré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Les catéchismes politiques, outils d’une éducation politique populaire (1815-1848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 xml:space="preserve">Jean-Charles </w:t>
      </w:r>
      <w:proofErr w:type="spellStart"/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Buttier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Autour de l’école : visions de l’éducation politique populaire à l’aube de la Régénération (Vaud, Suisse, 1815-1834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 xml:space="preserve">Nathalie </w:t>
      </w:r>
      <w:proofErr w:type="spellStart"/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Dahn</w:t>
      </w:r>
      <w:proofErr w:type="spellEnd"/>
      <w:r w:rsidRPr="00E16C44">
        <w:rPr>
          <w:rStyle w:val="Accentuation"/>
          <w:rFonts w:asciiTheme="minorHAnsi" w:hAnsiTheme="minorHAnsi"/>
          <w:color w:val="333333"/>
          <w:sz w:val="20"/>
          <w:szCs w:val="20"/>
        </w:rPr>
        <w:t>-Singh</w:t>
      </w:r>
    </w:p>
    <w:p w:rsidR="00F83F93" w:rsidRPr="00E16C44" w:rsidRDefault="00F83F93" w:rsidP="00E16C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« Commencer l’éducation d’un peuple libre ». 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Étienne Parent, l’instruction publique et la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gouvernementalité</w:t>
      </w:r>
      <w:proofErr w:type="spellEnd"/>
      <w:r w:rsidRPr="00E16C44">
        <w:rPr>
          <w:rFonts w:asciiTheme="minorHAnsi" w:hAnsiTheme="minorHAnsi"/>
          <w:color w:val="333333"/>
          <w:sz w:val="20"/>
          <w:szCs w:val="20"/>
        </w:rPr>
        <w:t xml:space="preserve"> libérale au Québec (1845-1852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Martin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Petitclerc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À l’école de la goguette (1815-1850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Sophie-Anne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Leterrier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Des cours et des bibliothèques pour changer le monde ? 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Les fouriéristes et l’éducation populaire (1848-vers 1875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Bernard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Desmars</w:t>
      </w:r>
      <w:proofErr w:type="spellEnd"/>
    </w:p>
    <w:p w:rsidR="00F83F93" w:rsidRPr="00C70D5E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lastRenderedPageBreak/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Deuxième partie</w:t>
      </w:r>
      <w:r w:rsidRPr="00E16C44">
        <w:rPr>
          <w:rFonts w:asciiTheme="minorHAnsi" w:hAnsiTheme="minorHAnsi"/>
          <w:b/>
          <w:bCs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Le peuple au féminin</w:t>
      </w:r>
    </w:p>
    <w:p w:rsidR="00F83F93" w:rsidRPr="00E16C44" w:rsidRDefault="00F83F93" w:rsidP="00E16C4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Introduction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Carole Christen</w:t>
      </w:r>
    </w:p>
    <w:p w:rsidR="00F83F93" w:rsidRPr="00E16C44" w:rsidRDefault="00F83F93" w:rsidP="00E16C4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Les écoles pour filles du peuple de la Société pour l’instruction élémentaire : un laboratoire pédagogique sous la Restauration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Caroline Fayolle</w:t>
      </w:r>
    </w:p>
    <w:p w:rsidR="00F83F93" w:rsidRPr="00E16C44" w:rsidRDefault="00F83F93" w:rsidP="00E16C4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Une institution « éminemment utile et moralisatrice » : les écoles de dessin pour femmes et jeunes filles (Paris, 1800-années 1860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>Renaud d’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Enfert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De l’école au métier… et au ménage : les cours de dames de la Société d’enseignement professionnel du Rhône (de 1864 à la veille de la Première Guerre mondiale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Marianne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Thivend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Les femmes dans les bibliothèques populaires, une présence volontairement oubliée ? Quelques pistes de réflexion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Agnès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Sandras</w:t>
      </w:r>
      <w:proofErr w:type="spellEnd"/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bookmarkStart w:id="0" w:name="_GoBack"/>
      <w:bookmarkEnd w:id="0"/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Troisième partie</w:t>
      </w:r>
      <w:r w:rsidRPr="00E16C44">
        <w:rPr>
          <w:rFonts w:asciiTheme="minorHAnsi" w:hAnsiTheme="minorHAnsi"/>
          <w:b/>
          <w:bCs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Intégrer le peuple</w:t>
      </w:r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Introduction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Laurent Besse</w:t>
      </w:r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« De l’école au régiment ». 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« Le réveil de l’éducation populaire » républicaine (1894-1897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Jean-François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Condette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Les « professeurs du peuple ». Instituteurs et encadrement de l’éducation populaire (1896-1914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Nicolas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Palluau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L’université populaire nancéienne : les caractères originaux d’une expérience lorraine (1899-1914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Laura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Mougel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« L’enseignement supérieur pour tous » ou comment enseigner le socialisme ? 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L’exemple de l’université populaire de Besançon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Damienne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Bonnamy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Mutualisme et éducation : l’exemple de l’Université populaire Giuseppe Garibaldi de Bologne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Elena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Musiani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Les comités d’éducation populaire en Alsace au lendemain de la Grande Guerre : aspects d’une œuvre d’intégration culturelle et patriotique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Philippe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Jian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 xml:space="preserve">L’éducation populaire à l’épreuve de la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socio-histoire</w:t>
      </w:r>
      <w:proofErr w:type="spellEnd"/>
      <w:r w:rsidRPr="00E16C44">
        <w:rPr>
          <w:rFonts w:asciiTheme="minorHAnsi" w:hAnsiTheme="minorHAnsi"/>
          <w:color w:val="333333"/>
          <w:sz w:val="20"/>
          <w:szCs w:val="20"/>
        </w:rPr>
        <w:t> : Rennes dans l’entre-deux-guerres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Étienne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Recht</w:t>
      </w:r>
      <w:proofErr w:type="spellEnd"/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Quatrième partie</w:t>
      </w:r>
      <w:r w:rsidRPr="00E16C44">
        <w:rPr>
          <w:rFonts w:asciiTheme="minorHAnsi" w:hAnsiTheme="minorHAnsi"/>
          <w:b/>
          <w:bCs/>
          <w:color w:val="333333"/>
          <w:sz w:val="20"/>
          <w:szCs w:val="20"/>
        </w:rPr>
        <w:br/>
      </w:r>
      <w:r w:rsidRPr="00E16C44">
        <w:rPr>
          <w:rStyle w:val="lev"/>
          <w:rFonts w:asciiTheme="minorHAnsi" w:hAnsiTheme="minorHAnsi"/>
          <w:color w:val="333333"/>
          <w:sz w:val="20"/>
          <w:szCs w:val="20"/>
        </w:rPr>
        <w:t>Former, cultiver et distraire le peuple</w:t>
      </w:r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Introduction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Laurent Besse</w:t>
      </w:r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Encadrer, insérer et former la jeunesse : l’éducation populaire dans le champ de l’orientation professionnelle (1900-1940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>Jérôme Martin</w:t>
      </w:r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Mercédès Le Fer de la Motte (1862-1933) : le document en action dans l’histoire de l’éducation populaire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Sylvie Fayet-Scribe</w:t>
      </w:r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L’action d’Allemand-Martin au lycée du Parc de Lyon, des prémices des loisirs dirigés à leur héritage (1919-1947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>Bertrand Silvestre</w:t>
      </w:r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Quelle Action catholique pour les jeunes des milieux ouvriers ? (1927-1945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>Bernard Giroux</w:t>
      </w:r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lastRenderedPageBreak/>
        <w:t>L’Action catholique spécialisée : un palliatif à la sous-scolarisation des jeunes Canadiens français (1930-1945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)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br/>
        <w:t>Louise Bienvenue</w:t>
      </w:r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 xml:space="preserve">Le cinéma éducateur </w:t>
      </w:r>
      <w:proofErr w:type="gramStart"/>
      <w:r w:rsidRPr="00E16C44">
        <w:rPr>
          <w:rFonts w:asciiTheme="minorHAnsi" w:hAnsiTheme="minorHAnsi"/>
          <w:color w:val="333333"/>
          <w:sz w:val="20"/>
          <w:szCs w:val="20"/>
        </w:rPr>
        <w:t>laïque : l’autre cinéma du Front populaire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Pascal</w:t>
      </w:r>
      <w:proofErr w:type="gramEnd"/>
      <w:r w:rsidRPr="00E16C44">
        <w:rPr>
          <w:rFonts w:asciiTheme="minorHAnsi" w:hAnsiTheme="minorHAnsi"/>
          <w:color w:val="333333"/>
          <w:sz w:val="20"/>
          <w:szCs w:val="20"/>
        </w:rPr>
        <w:t xml:space="preserve">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Laborderie</w:t>
      </w:r>
      <w:proofErr w:type="spellEnd"/>
    </w:p>
    <w:p w:rsidR="00F83F93" w:rsidRPr="00E16C44" w:rsidRDefault="00F83F93" w:rsidP="00E16C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 xml:space="preserve">Miss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Pledge</w:t>
      </w:r>
      <w:proofErr w:type="spellEnd"/>
      <w:r w:rsidRPr="00E16C44">
        <w:rPr>
          <w:rFonts w:asciiTheme="minorHAnsi" w:hAnsiTheme="minorHAnsi"/>
          <w:color w:val="333333"/>
          <w:sz w:val="20"/>
          <w:szCs w:val="20"/>
        </w:rPr>
        <w:t xml:space="preserve"> ou les danses populaires à la rescousse de l’éducation nouvelle (1926-1949) : les réseaux d’une Anglaise de Paris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François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Gasnault</w:t>
      </w:r>
      <w:proofErr w:type="spellEnd"/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color w:val="333333"/>
          <w:sz w:val="20"/>
          <w:szCs w:val="20"/>
        </w:rPr>
        <w:t> </w:t>
      </w:r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b/>
          <w:color w:val="333333"/>
          <w:sz w:val="20"/>
          <w:szCs w:val="20"/>
        </w:rPr>
        <w:t>Conclusion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>François Jacquet-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Francillon</w:t>
      </w:r>
      <w:proofErr w:type="spellEnd"/>
    </w:p>
    <w:p w:rsidR="00E16C44" w:rsidRPr="00E16C44" w:rsidRDefault="00E16C44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</w:p>
    <w:p w:rsidR="00F83F93" w:rsidRPr="00E16C44" w:rsidRDefault="00F83F93" w:rsidP="00E16C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0"/>
          <w:szCs w:val="20"/>
        </w:rPr>
      </w:pPr>
      <w:r w:rsidRPr="00E16C44">
        <w:rPr>
          <w:rFonts w:asciiTheme="minorHAnsi" w:hAnsiTheme="minorHAnsi"/>
          <w:b/>
          <w:color w:val="333333"/>
          <w:sz w:val="20"/>
          <w:szCs w:val="20"/>
        </w:rPr>
        <w:t>Index des noms de personnes</w:t>
      </w:r>
      <w:r w:rsidRPr="00E16C44">
        <w:rPr>
          <w:rFonts w:asciiTheme="minorHAnsi" w:hAnsiTheme="minorHAnsi"/>
          <w:color w:val="333333"/>
          <w:sz w:val="20"/>
          <w:szCs w:val="20"/>
        </w:rPr>
        <w:br/>
        <w:t xml:space="preserve">Notices </w:t>
      </w:r>
      <w:proofErr w:type="spellStart"/>
      <w:r w:rsidRPr="00E16C44">
        <w:rPr>
          <w:rFonts w:asciiTheme="minorHAnsi" w:hAnsiTheme="minorHAnsi"/>
          <w:color w:val="333333"/>
          <w:sz w:val="20"/>
          <w:szCs w:val="20"/>
        </w:rPr>
        <w:t>bio-bibliographiques</w:t>
      </w:r>
      <w:proofErr w:type="spellEnd"/>
    </w:p>
    <w:p w:rsidR="00F83F93" w:rsidRPr="00F83F93" w:rsidRDefault="00F83F93" w:rsidP="00F83F93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15"/>
          <w:szCs w:val="15"/>
          <w:lang w:eastAsia="fr-FR"/>
        </w:rPr>
      </w:pPr>
    </w:p>
    <w:p w:rsidR="006A32F1" w:rsidRPr="00E16C44" w:rsidRDefault="006A32F1"/>
    <w:sectPr w:rsidR="006A32F1" w:rsidRPr="00E1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458E"/>
    <w:multiLevelType w:val="hybridMultilevel"/>
    <w:tmpl w:val="3D3A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10C83"/>
    <w:multiLevelType w:val="hybridMultilevel"/>
    <w:tmpl w:val="4D0E7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73D37"/>
    <w:multiLevelType w:val="hybridMultilevel"/>
    <w:tmpl w:val="5AEEB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73A68"/>
    <w:multiLevelType w:val="hybridMultilevel"/>
    <w:tmpl w:val="C576B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040E7"/>
    <w:multiLevelType w:val="hybridMultilevel"/>
    <w:tmpl w:val="3E8C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93"/>
    <w:rsid w:val="006A32F1"/>
    <w:rsid w:val="00C70D5E"/>
    <w:rsid w:val="00E16C44"/>
    <w:rsid w:val="00F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1670-BDE7-473F-A90E-D5A608D1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83F93"/>
    <w:rPr>
      <w:b/>
      <w:bCs/>
    </w:rPr>
  </w:style>
  <w:style w:type="character" w:customStyle="1" w:styleId="apple-converted-space">
    <w:name w:val="apple-converted-space"/>
    <w:basedOn w:val="Policepardfaut"/>
    <w:rsid w:val="00F83F93"/>
  </w:style>
  <w:style w:type="character" w:customStyle="1" w:styleId="familyname">
    <w:name w:val="familyname"/>
    <w:basedOn w:val="Policepardfaut"/>
    <w:rsid w:val="00F83F93"/>
  </w:style>
  <w:style w:type="character" w:styleId="Lienhypertexte">
    <w:name w:val="Hyperlink"/>
    <w:basedOn w:val="Policepardfaut"/>
    <w:uiPriority w:val="99"/>
    <w:semiHidden/>
    <w:unhideWhenUsed/>
    <w:rsid w:val="00F83F9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83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slibraires.fr/editeur/pu-septentrion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Raymond</dc:creator>
  <cp:keywords/>
  <dc:description/>
  <cp:lastModifiedBy>Magali Raymond</cp:lastModifiedBy>
  <cp:revision>3</cp:revision>
  <dcterms:created xsi:type="dcterms:W3CDTF">2017-06-20T06:34:00Z</dcterms:created>
  <dcterms:modified xsi:type="dcterms:W3CDTF">2017-06-20T06:50:00Z</dcterms:modified>
</cp:coreProperties>
</file>